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both"/>
        <w:rPr>
          <w:rFonts w:hint="eastAsia" w:eastAsia="楷体"/>
          <w:b/>
          <w:spacing w:val="-2"/>
          <w:sz w:val="24"/>
          <w:u w:val="single"/>
        </w:rPr>
      </w:pPr>
      <w:bookmarkStart w:id="0" w:name="OLE_LINK1"/>
      <w:bookmarkStart w:id="1" w:name="OLE_LINK2"/>
      <w:r>
        <w:rPr>
          <w:b/>
          <w:spacing w:val="-2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191135</wp:posOffset>
                </wp:positionV>
                <wp:extent cx="4930775" cy="822960"/>
                <wp:effectExtent l="4445" t="4445" r="5080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077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F1C6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Impact" w:hAnsi="Impact"/>
                                <w:b/>
                                <w:color w:val="4F1C6C"/>
                                <w:sz w:val="44"/>
                              </w:rPr>
                            </w:pPr>
                            <w:r>
                              <w:rPr>
                                <w:rFonts w:hint="eastAsia" w:ascii="Impact" w:hAnsi="Impact"/>
                                <w:b/>
                                <w:color w:val="4F1C6C"/>
                                <w:sz w:val="44"/>
                              </w:rPr>
                              <w:t>PEPA1000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Impact" w:hAnsi="Impact" w:eastAsia="楷体"/>
                                <w:b/>
                                <w:color w:val="4F1C6C"/>
                                <w:sz w:val="36"/>
                              </w:rPr>
                            </w:pPr>
                            <w:r>
                              <w:rPr>
                                <w:rFonts w:hint="eastAsia" w:ascii="Impact" w:hAnsi="Impact" w:eastAsia="楷体"/>
                                <w:b/>
                                <w:color w:val="4F1C6C"/>
                                <w:sz w:val="36"/>
                              </w:rPr>
                              <w:t>高速超薄及高速多层共挤膜材生产用工艺助剂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pt;margin-top:15.05pt;height:64.8pt;width:388.25pt;z-index:251658240;mso-width-relative:page;mso-height-relative:page;" fillcolor="#FFFFFF" filled="t" stroked="t" coordsize="21600,21600" o:gfxdata="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ucsiJ2AAAAAkBAAAPAAAAAAAAAAEAIAAAACIAAABkcnMvZG93bnJldi54bWxQSwECFAAUAAAA&#10;CACHTuJANYLnHO4BAADbAwAADgAAAAAAAAABACAAAAAnAQAAZHJzL2Uyb0RvYy54bWxQSwUGAAAA&#10;AAYABgBZAQAAhwUAAAAA&#10;">
                <v:fill on="t" focussize="0,0"/>
                <v:stroke color="#4F1C6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Impact" w:hAnsi="Impact"/>
                          <w:b/>
                          <w:color w:val="4F1C6C"/>
                          <w:sz w:val="44"/>
                        </w:rPr>
                      </w:pPr>
                      <w:r>
                        <w:rPr>
                          <w:rFonts w:hint="eastAsia" w:ascii="Impact" w:hAnsi="Impact"/>
                          <w:b/>
                          <w:color w:val="4F1C6C"/>
                          <w:sz w:val="44"/>
                        </w:rPr>
                        <w:t>PEPA1000</w:t>
                      </w:r>
                    </w:p>
                    <w:p>
                      <w:pPr>
                        <w:jc w:val="center"/>
                        <w:rPr>
                          <w:rFonts w:hint="eastAsia" w:ascii="Impact" w:hAnsi="Impact" w:eastAsia="楷体"/>
                          <w:b/>
                          <w:color w:val="4F1C6C"/>
                          <w:sz w:val="36"/>
                        </w:rPr>
                      </w:pPr>
                      <w:r>
                        <w:rPr>
                          <w:rFonts w:hint="eastAsia" w:ascii="Impact" w:hAnsi="Impact" w:eastAsia="楷体"/>
                          <w:b/>
                          <w:color w:val="4F1C6C"/>
                          <w:sz w:val="36"/>
                        </w:rPr>
                        <w:t>高速超薄及高速多层共挤膜材生产用工艺助剂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uppressAutoHyphens/>
        <w:jc w:val="both"/>
        <w:rPr>
          <w:rFonts w:hint="eastAsia"/>
          <w:b/>
          <w:spacing w:val="-2"/>
          <w:sz w:val="24"/>
          <w:u w:val="single"/>
        </w:rPr>
      </w:pPr>
    </w:p>
    <w:p>
      <w:pPr>
        <w:tabs>
          <w:tab w:val="left" w:pos="2400"/>
        </w:tabs>
        <w:suppressAutoHyphens/>
        <w:jc w:val="both"/>
        <w:rPr>
          <w:rFonts w:hint="eastAsia"/>
          <w:b/>
          <w:i/>
          <w:iCs/>
          <w:spacing w:val="-2"/>
          <w:sz w:val="24"/>
        </w:rPr>
      </w:pPr>
      <w:r>
        <w:rPr>
          <w:rFonts w:hint="eastAsia"/>
          <w:b/>
          <w:i/>
          <w:iCs/>
          <w:spacing w:val="-2"/>
          <w:sz w:val="24"/>
        </w:rPr>
        <w:tab/>
      </w:r>
    </w:p>
    <w:p>
      <w:pPr>
        <w:tabs>
          <w:tab w:val="left" w:pos="2400"/>
        </w:tabs>
        <w:suppressAutoHyphens/>
        <w:jc w:val="both"/>
        <w:rPr>
          <w:rFonts w:hint="eastAsia"/>
          <w:b/>
          <w:spacing w:val="-2"/>
          <w:sz w:val="24"/>
          <w:u w:val="single"/>
        </w:rPr>
      </w:pPr>
    </w:p>
    <w:p>
      <w:pPr>
        <w:tabs>
          <w:tab w:val="left" w:pos="2400"/>
        </w:tabs>
        <w:suppressAutoHyphens/>
        <w:jc w:val="both"/>
        <w:rPr>
          <w:rFonts w:hint="eastAsia"/>
          <w:b/>
          <w:spacing w:val="-2"/>
          <w:sz w:val="24"/>
          <w:u w:val="single"/>
        </w:rPr>
      </w:pPr>
    </w:p>
    <w:p>
      <w:pPr>
        <w:tabs>
          <w:tab w:val="left" w:pos="2400"/>
        </w:tabs>
        <w:suppressAutoHyphens/>
        <w:jc w:val="both"/>
        <w:rPr>
          <w:rFonts w:hint="eastAsia"/>
          <w:b/>
          <w:spacing w:val="-2"/>
          <w:sz w:val="24"/>
          <w:u w:val="single"/>
        </w:rPr>
      </w:pPr>
    </w:p>
    <w:p>
      <w:pPr>
        <w:tabs>
          <w:tab w:val="left" w:pos="2400"/>
        </w:tabs>
        <w:suppressAutoHyphens/>
        <w:jc w:val="both"/>
        <w:rPr>
          <w:rFonts w:hint="eastAsia"/>
          <w:b/>
          <w:i/>
          <w:iCs/>
          <w:spacing w:val="-2"/>
          <w:sz w:val="24"/>
        </w:rPr>
      </w:pPr>
    </w:p>
    <w:p>
      <w:pPr>
        <w:pBdr>
          <w:top w:val="thinThickSmallGap" w:color="0000FF" w:sz="24" w:space="1"/>
        </w:pBdr>
        <w:suppressAutoHyphens/>
        <w:jc w:val="right"/>
        <w:outlineLvl w:val="0"/>
        <w:rPr>
          <w:rFonts w:ascii="Gill Sans Condensed" w:hAnsi="Gill Sans Condensed"/>
          <w:color w:val="0000FF"/>
          <w:spacing w:val="-2"/>
        </w:rPr>
      </w:pPr>
      <w:r>
        <w:rPr>
          <w:rFonts w:hint="eastAsia" w:eastAsia="楷体"/>
          <w:i/>
        </w:rPr>
        <w:t>产 品 说 明 书</w:t>
      </w:r>
    </w:p>
    <w:p>
      <w:pPr>
        <w:pStyle w:val="2"/>
        <w:rPr>
          <w:rFonts w:hint="eastAsia" w:ascii="楷体" w:eastAsia="楷体"/>
          <w:szCs w:val="24"/>
          <w:u w:val="none"/>
        </w:rPr>
      </w:pPr>
      <w:r>
        <w:rPr>
          <w:rFonts w:hint="eastAsia" w:ascii="楷体" w:eastAsia="楷体"/>
          <w:szCs w:val="24"/>
          <w:u w:val="none"/>
        </w:rPr>
        <w:t>性能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。提高膜材表面光亮度。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。消除因低熔融指数（例如：Mi 1或以下）或茂金属催化MLLDPE引起的熔体破裂（鲨皮纹）及微观水波纹。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。减少由吹膜或挤出工艺所造成的晶点、微晶点。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。能在吹膜或挤出工艺条件不改变的情况下，自动提升吹膜或挤出速度10-15%，并能降低模头内压及主电机电力消耗。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。可降低模头温度10-15</w:t>
      </w:r>
      <w:r>
        <w:rPr>
          <w:rFonts w:ascii="Arial" w:hAnsi="Arial" w:eastAsia="楷体" w:cs="Arial"/>
          <w:spacing w:val="-2"/>
          <w:sz w:val="22"/>
          <w:szCs w:val="22"/>
        </w:rPr>
        <w:t>℃</w:t>
      </w:r>
      <w:r>
        <w:rPr>
          <w:rFonts w:hint="eastAsia" w:ascii="Arial" w:hAnsi="Arial" w:eastAsia="楷体" w:cs="Arial"/>
          <w:spacing w:val="-2"/>
          <w:sz w:val="22"/>
          <w:szCs w:val="22"/>
        </w:rPr>
        <w:t>，使吹膜泡体稳定性提高，并有利于天气炎热期间提升生产速度。</w:t>
      </w:r>
    </w:p>
    <w:p>
      <w:pPr>
        <w:suppressAutoHyphens/>
        <w:jc w:val="both"/>
        <w:rPr>
          <w:rFonts w:hint="eastAsia" w:ascii="楷体" w:hAnsi="Times New Roman" w:eastAsia="楷体"/>
          <w:b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spacing w:val="-2"/>
          <w:sz w:val="24"/>
          <w:szCs w:val="24"/>
        </w:rPr>
        <w:t>其他特点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。能改善挤出设备的塑化效能，改善熔体流态，提高膜材的综合性能。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。使产品平滑光亮，提高凹版印刷图案的层次感及油墨光亮度。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。大幅度减少晶点引起的印刷次品（印刷白点）。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。效能高，是专用于新一代的高速、超薄多层共挤膜材生产线专用配方。</w:t>
      </w:r>
    </w:p>
    <w:p>
      <w:pPr>
        <w:suppressAutoHyphens/>
        <w:jc w:val="both"/>
        <w:rPr>
          <w:rFonts w:hint="eastAsia" w:ascii="楷体" w:hAnsi="Times New Roman" w:eastAsia="楷体"/>
          <w:b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spacing w:val="-2"/>
          <w:sz w:val="24"/>
          <w:szCs w:val="24"/>
        </w:rPr>
        <w:t>应用领域</w:t>
      </w:r>
    </w:p>
    <w:p>
      <w:pPr>
        <w:suppressAutoHyphens/>
        <w:jc w:val="both"/>
        <w:rPr>
          <w:rFonts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凹版精细印刷膜材、重包装膜、多层共挤膜、农膜等。</w:t>
      </w:r>
    </w:p>
    <w:p>
      <w:pPr>
        <w:suppressAutoHyphens/>
        <w:jc w:val="both"/>
        <w:outlineLvl w:val="0"/>
        <w:rPr>
          <w:rFonts w:hint="eastAsia" w:ascii="楷体" w:hAnsi="楷体" w:eastAsia="楷体" w:cs="楷体"/>
          <w:spacing w:val="-2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pacing w:val="-2"/>
          <w:sz w:val="24"/>
          <w:szCs w:val="24"/>
        </w:rPr>
        <w:t>基本数据                    ASTM 测试标准                        数值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i/>
          <w:iCs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>载体树脂                                                            高纯LDPE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>熔融指数                          D 1238                              7g/10min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比重                            </w:t>
      </w:r>
      <w:r>
        <w:rPr>
          <w:rFonts w:hint="eastAsia" w:ascii="楷体" w:hAnsi="楷体" w:eastAsia="楷体" w:cs="楷体"/>
          <w:spacing w:val="-2"/>
          <w:sz w:val="22"/>
          <w:szCs w:val="2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pacing w:val="-2"/>
          <w:sz w:val="22"/>
          <w:szCs w:val="22"/>
        </w:rPr>
        <w:t>D  792                              0.94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含湿率                                                              &lt;1000 ppm      </w:t>
      </w:r>
      <w:bookmarkStart w:id="2" w:name="OLE_LINK7"/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（以上技术数据，只供参考之用）</w:t>
      </w:r>
    </w:p>
    <w:bookmarkEnd w:id="2"/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建议添加比例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</w:rPr>
        <w:t>时间                  加入量                 时间               加入量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73025</wp:posOffset>
                </wp:positionV>
                <wp:extent cx="6597650" cy="635"/>
                <wp:effectExtent l="0" t="6350" r="6350" b="120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765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45pt;margin-top:5.75pt;height:0.05pt;width:519.5pt;z-index:251660288;mso-width-relative:page;mso-height-relative:page;" filled="f" stroked="t" coordsize="21600,21600" o:gfxdata="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GB7FNgAAAAIAQAADwAA&#10;AAAAAAABACAAAAAiAAAAZHJzL2Rvd25yZXYueG1sUEsBAhQAFAAAAAgAh07iQDYqZYrdAQAAmQMA&#10;AA4AAAAAAAAAAQAgAAAAJwEAAGRycy9lMm9Eb2MueG1sUEsFBgAAAAAGAAYAWQEAAHYFAAAAAA==&#10;">
                <v:fill on="f" focussize="0,0"/>
                <v:stroke weight="1pt" color="#0070C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51435</wp:posOffset>
                </wp:positionV>
                <wp:extent cx="6597650" cy="635"/>
                <wp:effectExtent l="0" t="6350" r="6350" b="1206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765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35pt;margin-top:4.05pt;height:0.05pt;width:519.5pt;z-index:251659264;mso-width-relative:page;mso-height-relative:page;" filled="f" stroked="t" coordsize="21600,21600" o:gfxdata="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fXfstYAAAAGAQAADwAA&#10;AAAAAAABACAAAAAiAAAAZHJzL2Rvd25yZXYueG1sUEsBAhQAFAAAAAgAh07iQH5OQyLfAQAAmQMA&#10;AA4AAAAAAAAAAQAgAAAAJQEAAGRycy9lMm9Eb2MueG1sUEsFBgAAAAAGAAYAWQEAAHYFAAAAAA==&#10;">
                <v:fill on="f" focussize="0,0"/>
                <v:stroke weight="1pt" color="#0070C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Times New Roman" w:eastAsia="楷体"/>
          <w:spacing w:val="-2"/>
          <w:sz w:val="22"/>
          <w:szCs w:val="22"/>
        </w:rPr>
        <w:t xml:space="preserve">   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 xml:space="preserve">    第1-2小时                     5%             第3-5小时                2%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 xml:space="preserve">    第2-3小时              </w:t>
      </w:r>
      <w:r>
        <w:rPr>
          <w:rFonts w:hint="eastAsia" w:ascii="楷体" w:hAnsi="Times New Roman" w:eastAsia="楷体"/>
          <w:spacing w:val="-2"/>
          <w:sz w:val="22"/>
          <w:szCs w:val="22"/>
          <w:lang w:val="en-US" w:eastAsia="zh-CN"/>
        </w:rPr>
        <w:t xml:space="preserve">      </w:t>
      </w:r>
      <w:r>
        <w:rPr>
          <w:rFonts w:hint="eastAsia" w:ascii="楷体" w:hAnsi="Times New Roman" w:eastAsia="楷体"/>
          <w:spacing w:val="-2"/>
          <w:sz w:val="22"/>
          <w:szCs w:val="22"/>
        </w:rPr>
        <w:t xml:space="preserve">3%            </w:t>
      </w:r>
      <w:r>
        <w:rPr>
          <w:rFonts w:hint="eastAsia" w:ascii="楷体" w:hAnsi="Times New Roman" w:eastAsia="楷体"/>
          <w:spacing w:val="-2"/>
          <w:sz w:val="22"/>
          <w:szCs w:val="22"/>
          <w:lang w:val="en-US" w:eastAsia="zh-CN"/>
        </w:rPr>
        <w:t xml:space="preserve"> </w:t>
      </w:r>
      <w:r>
        <w:rPr>
          <w:rFonts w:hint="eastAsia" w:ascii="楷体" w:hAnsi="Times New Roman" w:eastAsia="楷体"/>
          <w:spacing w:val="-2"/>
          <w:sz w:val="22"/>
          <w:szCs w:val="22"/>
        </w:rPr>
        <w:t>72小时后              0.1-2%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注：72小时后的长期使用加入量视对膜品质要求、PE原料粘度、模头间隙、膜材厚度、膜材生产线速度等工艺条件而定。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储存方式及有效储存期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应长期储存在凉爽的仓库内。有效储存期二年以上。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食品接触安全性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/>
          <w:bCs/>
          <w:spacing w:val="-2"/>
          <w:sz w:val="22"/>
          <w:szCs w:val="22"/>
        </w:rPr>
        <w:t>符合美国FDA21 CFR 177.1520.要求，能与食品接触。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注意：产品  不会对热封、电晕处理、印刷油墨或复合胶水附着性产生负面影响。</w:t>
      </w:r>
    </w:p>
    <w:p>
      <w:pPr>
        <w:suppressAutoHyphens/>
        <w:jc w:val="both"/>
      </w:pPr>
      <w:r>
        <w:rPr>
          <w:rFonts w:hint="eastAsia" w:ascii="楷体" w:hAnsi="Times New Roman" w:eastAsia="楷体"/>
          <w:spacing w:val="-2"/>
          <w:sz w:val="22"/>
          <w:szCs w:val="22"/>
        </w:rPr>
        <w:t xml:space="preserve">      产品  不会干扰常用添加剂效能，例如：爽滑剂，防粘结剂（开口剂），抗静电剂等的效能。</w:t>
      </w:r>
      <w:bookmarkEnd w:id="0"/>
      <w:bookmarkEnd w:id="1"/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Gill Sans Condensed">
    <w:altName w:val="Segoe Print"/>
    <w:panose1 w:val="02010606040404020203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37766"/>
    <w:rsid w:val="74FD69D2"/>
    <w:rsid w:val="7EF3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urier" w:hAnsi="Courier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uppressAutoHyphens/>
      <w:jc w:val="both"/>
      <w:outlineLvl w:val="0"/>
    </w:pPr>
    <w:rPr>
      <w:rFonts w:ascii="Times New Roman" w:hAnsi="Times New Roman"/>
      <w:b/>
      <w:spacing w:val="-2"/>
      <w:sz w:val="24"/>
      <w:u w:val="singl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2020-08-29T07:38:00Z</dcterms:created>
  <dc:creator>风歌</dc:creator>
  <cp:lastModifiedBy>风歌</cp:lastModifiedBy>
  <dcterms:modified xsi:type="dcterms:W3CDTF">2020-08-29T11:00:02Z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