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jc w:val="both"/>
        <w:rPr>
          <w:rFonts w:hint="eastAsia" w:ascii="楷体" w:hAnsi="Times New Roman" w:eastAsia="楷体"/>
          <w:spacing w:val="-2"/>
          <w:sz w:val="22"/>
          <w:szCs w:val="22"/>
        </w:rPr>
      </w:pPr>
      <w:bookmarkStart w:id="0" w:name="_GoBack"/>
      <w:bookmarkEnd w:id="0"/>
      <w:r>
        <w:rPr>
          <w:b/>
          <w:spacing w:val="-2"/>
          <w:sz w:val="24"/>
          <w:u w:val="single"/>
        </w:rPr>
        <mc:AlternateContent>
          <mc:Choice Requires="wps">
            <w:drawing>
              <wp:anchor distT="0" distB="0" distL="114300" distR="114300" simplePos="0" relativeHeight="251677696" behindDoc="0" locked="0" layoutInCell="1" allowOverlap="1">
                <wp:simplePos x="0" y="0"/>
                <wp:positionH relativeFrom="column">
                  <wp:posOffset>391160</wp:posOffset>
                </wp:positionH>
                <wp:positionV relativeFrom="paragraph">
                  <wp:posOffset>100965</wp:posOffset>
                </wp:positionV>
                <wp:extent cx="4389120" cy="822960"/>
                <wp:effectExtent l="4445" t="4445" r="13335" b="10795"/>
                <wp:wrapNone/>
                <wp:docPr id="1" name="矩形 1"/>
                <wp:cNvGraphicFramePr/>
                <a:graphic xmlns:a="http://schemas.openxmlformats.org/drawingml/2006/main">
                  <a:graphicData uri="http://schemas.microsoft.com/office/word/2010/wordprocessingShape">
                    <wps:wsp>
                      <wps:cNvSpPr/>
                      <wps:spPr>
                        <a:xfrm>
                          <a:off x="0" y="0"/>
                          <a:ext cx="4389120" cy="822960"/>
                        </a:xfrm>
                        <a:prstGeom prst="rect">
                          <a:avLst/>
                        </a:prstGeom>
                        <a:solidFill>
                          <a:srgbClr val="FFFFFF"/>
                        </a:solidFill>
                        <a:ln w="9525" cap="flat" cmpd="sng">
                          <a:solidFill>
                            <a:srgbClr val="4F1C6C"/>
                          </a:solidFill>
                          <a:prstDash val="solid"/>
                          <a:miter/>
                          <a:headEnd type="none" w="med" len="med"/>
                          <a:tailEnd type="none" w="med" len="med"/>
                        </a:ln>
                      </wps:spPr>
                      <wps:txbx>
                        <w:txbxContent>
                          <w:p>
                            <w:pPr>
                              <w:jc w:val="center"/>
                              <w:rPr>
                                <w:rFonts w:hint="eastAsia" w:ascii="Impact" w:hAnsi="Impact" w:eastAsia="楷体"/>
                                <w:b/>
                                <w:color w:val="0000FF"/>
                                <w:sz w:val="44"/>
                              </w:rPr>
                            </w:pPr>
                            <w:r>
                              <w:rPr>
                                <w:rFonts w:hint="eastAsia" w:ascii="Impact" w:hAnsi="Impact" w:eastAsia="楷体"/>
                                <w:b/>
                                <w:color w:val="4F1C6C"/>
                                <w:sz w:val="44"/>
                              </w:rPr>
                              <w:t>PEFW1000</w:t>
                            </w:r>
                          </w:p>
                          <w:p>
                            <w:pPr>
                              <w:jc w:val="center"/>
                              <w:rPr>
                                <w:rFonts w:hint="eastAsia" w:ascii="Impact" w:hAnsi="Impact" w:eastAsia="楷体"/>
                                <w:b/>
                                <w:color w:val="4F1C6C"/>
                                <w:sz w:val="36"/>
                              </w:rPr>
                            </w:pPr>
                            <w:r>
                              <w:rPr>
                                <w:rFonts w:hint="eastAsia" w:ascii="Times New Roman" w:hAnsi="Times New Roman" w:eastAsia="楷体"/>
                                <w:b/>
                                <w:color w:val="4F1C6C"/>
                                <w:sz w:val="36"/>
                              </w:rPr>
                              <w:t>防雾</w:t>
                            </w:r>
                            <w:r>
                              <w:rPr>
                                <w:rFonts w:hint="eastAsia" w:ascii="Gill Sans Condensed" w:hAnsi="Gill Sans Condensed" w:eastAsia="楷体"/>
                                <w:b/>
                                <w:color w:val="4F1C6C"/>
                                <w:spacing w:val="-2"/>
                                <w:sz w:val="36"/>
                              </w:rPr>
                              <w:t>母粒</w:t>
                            </w:r>
                          </w:p>
                        </w:txbxContent>
                      </wps:txbx>
                      <wps:bodyPr upright="1"/>
                    </wps:wsp>
                  </a:graphicData>
                </a:graphic>
              </wp:anchor>
            </w:drawing>
          </mc:Choice>
          <mc:Fallback>
            <w:pict>
              <v:rect id="_x0000_s1026" o:spid="_x0000_s1026" o:spt="1" style="position:absolute;left:0pt;margin-left:30.8pt;margin-top:7.95pt;height:64.8pt;width:345.6pt;z-index:251677696;mso-width-relative:page;mso-height-relative:page;" fillcolor="#FFFFFF" filled="t" stroked="t" coordsize="21600,21600" o:gfxdata="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0&#10;fACY1wAAAAkBAAAPAAAAAAAAAAEAIAAAACIAAABkcnMvZG93bnJldi54bWxQSwECFAAUAAAACACH&#10;TuJAYQqYYuwBAADbAwAADgAAAAAAAAABACAAAAAmAQAAZHJzL2Uyb0RvYy54bWxQSwUGAAAAAAYA&#10;BgBZAQAAhAUAAAAA&#10;">
                <v:path/>
                <v:fill on="t" focussize="0,0"/>
                <v:stroke color="#4F1C6C"/>
                <v:imagedata o:title=""/>
                <o:lock v:ext="edit" grouping="f" rotation="f" text="f" aspectratio="f"/>
                <v:textbox>
                  <w:txbxContent>
                    <w:p>
                      <w:pPr>
                        <w:jc w:val="center"/>
                        <w:rPr>
                          <w:rFonts w:hint="eastAsia" w:ascii="Impact" w:hAnsi="Impact" w:eastAsia="楷体"/>
                          <w:b/>
                          <w:color w:val="0000FF"/>
                          <w:sz w:val="44"/>
                        </w:rPr>
                      </w:pPr>
                      <w:r>
                        <w:rPr>
                          <w:rFonts w:hint="eastAsia" w:ascii="Impact" w:hAnsi="Impact" w:eastAsia="楷体"/>
                          <w:b/>
                          <w:color w:val="4F1C6C"/>
                          <w:sz w:val="44"/>
                        </w:rPr>
                        <w:t>PEFW1000</w:t>
                      </w:r>
                    </w:p>
                    <w:p>
                      <w:pPr>
                        <w:jc w:val="center"/>
                        <w:rPr>
                          <w:rFonts w:hint="eastAsia" w:ascii="Impact" w:hAnsi="Impact" w:eastAsia="楷体"/>
                          <w:b/>
                          <w:color w:val="4F1C6C"/>
                          <w:sz w:val="36"/>
                        </w:rPr>
                      </w:pPr>
                      <w:r>
                        <w:rPr>
                          <w:rFonts w:hint="eastAsia" w:ascii="Times New Roman" w:hAnsi="Times New Roman" w:eastAsia="楷体"/>
                          <w:b/>
                          <w:color w:val="4F1C6C"/>
                          <w:sz w:val="36"/>
                        </w:rPr>
                        <w:t>防雾</w:t>
                      </w:r>
                      <w:r>
                        <w:rPr>
                          <w:rFonts w:hint="eastAsia" w:ascii="Gill Sans Condensed" w:hAnsi="Gill Sans Condensed" w:eastAsia="楷体"/>
                          <w:b/>
                          <w:color w:val="4F1C6C"/>
                          <w:spacing w:val="-2"/>
                          <w:sz w:val="36"/>
                        </w:rPr>
                        <w:t>母粒</w:t>
                      </w:r>
                    </w:p>
                  </w:txbxContent>
                </v:textbox>
              </v:rect>
            </w:pict>
          </mc:Fallback>
        </mc:AlternateContent>
      </w:r>
    </w:p>
    <w:p>
      <w:pPr>
        <w:suppressAutoHyphens/>
        <w:jc w:val="both"/>
        <w:rPr>
          <w:rFonts w:hint="eastAsia" w:ascii="楷体" w:hAnsi="Times New Roman" w:eastAsia="楷体"/>
          <w:spacing w:val="-2"/>
          <w:sz w:val="22"/>
          <w:szCs w:val="22"/>
        </w:rPr>
      </w:pPr>
    </w:p>
    <w:p>
      <w:pPr>
        <w:suppressAutoHyphens/>
        <w:jc w:val="both"/>
        <w:rPr>
          <w:rFonts w:hint="eastAsia" w:ascii="楷体" w:hAnsi="Times New Roman" w:eastAsia="楷体"/>
          <w:spacing w:val="-2"/>
          <w:sz w:val="22"/>
          <w:szCs w:val="22"/>
        </w:rPr>
      </w:pPr>
    </w:p>
    <w:p>
      <w:pPr>
        <w:suppressAutoHyphens/>
        <w:jc w:val="both"/>
        <w:rPr>
          <w:rFonts w:hint="eastAsia" w:ascii="楷体" w:hAnsi="Times New Roman" w:eastAsia="楷体"/>
          <w:spacing w:val="-2"/>
          <w:sz w:val="22"/>
          <w:szCs w:val="22"/>
        </w:rPr>
      </w:pPr>
    </w:p>
    <w:p>
      <w:pPr>
        <w:suppressAutoHyphens/>
        <w:jc w:val="both"/>
        <w:rPr>
          <w:b/>
          <w:spacing w:val="-2"/>
          <w:sz w:val="24"/>
          <w:u w:val="single"/>
        </w:rPr>
      </w:pPr>
    </w:p>
    <w:p>
      <w:pPr>
        <w:suppressAutoHyphens/>
        <w:jc w:val="both"/>
        <w:rPr>
          <w:b/>
          <w:spacing w:val="-2"/>
          <w:sz w:val="24"/>
          <w:u w:val="single"/>
        </w:rPr>
      </w:pPr>
    </w:p>
    <w:p>
      <w:pPr>
        <w:pBdr>
          <w:top w:val="thinThickSmallGap" w:color="0000FF" w:sz="24" w:space="1"/>
        </w:pBdr>
        <w:suppressAutoHyphens/>
        <w:jc w:val="right"/>
        <w:outlineLvl w:val="0"/>
        <w:rPr>
          <w:rFonts w:ascii="Gill Sans Condensed" w:hAnsi="Gill Sans Condensed"/>
          <w:color w:val="0000FF"/>
          <w:spacing w:val="-2"/>
        </w:rPr>
      </w:pPr>
      <w:r>
        <w:rPr>
          <w:rFonts w:hint="eastAsia" w:eastAsia="楷体"/>
          <w:i/>
        </w:rPr>
        <w:t>产 品 说 明 书</w:t>
      </w:r>
    </w:p>
    <w:p>
      <w:pPr>
        <w:pStyle w:val="2"/>
        <w:rPr>
          <w:rFonts w:hint="eastAsia" w:ascii="楷体" w:eastAsia="楷体"/>
          <w:szCs w:val="24"/>
          <w:u w:val="none"/>
        </w:rPr>
      </w:pPr>
      <w:r>
        <w:rPr>
          <w:rFonts w:hint="eastAsia" w:ascii="楷体" w:eastAsia="楷体"/>
          <w:szCs w:val="24"/>
          <w:u w:val="none"/>
        </w:rPr>
        <w:t>慨述</w:t>
      </w:r>
    </w:p>
    <w:p>
      <w:pPr>
        <w:ind w:right="22"/>
        <w:rPr>
          <w:rFonts w:cs="Cordia New"/>
          <w:sz w:val="28"/>
        </w:rPr>
      </w:pPr>
      <w:r>
        <w:rPr>
          <w:rFonts w:hint="eastAsia" w:ascii="黑体" w:eastAsia="黑体"/>
          <w:szCs w:val="21"/>
        </w:rPr>
        <w:t>HM13-10051是内含高含量经确认可用于与食品接触的高效防雾母料，主要用于防止食品包装用塑料薄膜内雾的形成</w:t>
      </w:r>
      <w:r>
        <w:rPr>
          <w:rFonts w:hint="eastAsia" w:cs="Cordia New"/>
          <w:sz w:val="28"/>
        </w:rPr>
        <w:t>。</w:t>
      </w:r>
    </w:p>
    <w:p>
      <w:pPr>
        <w:suppressAutoHyphens/>
        <w:jc w:val="both"/>
        <w:rPr>
          <w:rFonts w:hint="eastAsia" w:ascii="黑体" w:eastAsia="黑体"/>
          <w:szCs w:val="21"/>
        </w:rPr>
      </w:pPr>
    </w:p>
    <w:p>
      <w:pPr>
        <w:suppressAutoHyphens/>
        <w:jc w:val="both"/>
        <w:rPr>
          <w:rFonts w:hint="eastAsia" w:ascii="楷体" w:hAnsi="Times New Roman" w:eastAsia="楷体"/>
          <w:b/>
          <w:spacing w:val="-2"/>
          <w:sz w:val="24"/>
          <w:szCs w:val="24"/>
        </w:rPr>
      </w:pPr>
      <w:r>
        <w:rPr>
          <w:rFonts w:hint="eastAsia" w:ascii="楷体" w:hAnsi="Times New Roman" w:eastAsia="楷体"/>
          <w:b/>
          <w:spacing w:val="-2"/>
          <w:sz w:val="24"/>
          <w:szCs w:val="24"/>
        </w:rPr>
        <w:t>特征</w:t>
      </w:r>
    </w:p>
    <w:p>
      <w:pPr>
        <w:suppressAutoHyphens/>
        <w:jc w:val="both"/>
        <w:rPr>
          <w:rFonts w:hint="eastAsia" w:ascii="楷体" w:hAnsi="Times New Roman" w:eastAsia="楷体"/>
          <w:spacing w:val="-2"/>
          <w:sz w:val="22"/>
          <w:szCs w:val="22"/>
        </w:rPr>
      </w:pPr>
      <w:r>
        <w:rPr>
          <w:rFonts w:ascii="楷体" w:hAnsi="Times New Roman" w:eastAsia="楷体"/>
          <w:spacing w:val="-2"/>
          <w:sz w:val="22"/>
          <w:szCs w:val="22"/>
        </w:rPr>
        <w:t>*</w:t>
      </w:r>
      <w:r>
        <w:rPr>
          <w:rFonts w:ascii="楷体" w:hAnsi="Times New Roman" w:eastAsia="楷体"/>
          <w:spacing w:val="-2"/>
          <w:sz w:val="22"/>
          <w:szCs w:val="22"/>
        </w:rPr>
        <w:tab/>
      </w:r>
      <w:r>
        <w:rPr>
          <w:rFonts w:hint="eastAsia" w:ascii="楷体" w:hAnsi="Times New Roman" w:eastAsia="楷体"/>
          <w:spacing w:val="-2"/>
          <w:sz w:val="22"/>
          <w:szCs w:val="22"/>
        </w:rPr>
        <w:t>易 加 工</w:t>
      </w:r>
    </w:p>
    <w:p>
      <w:pPr>
        <w:suppressAutoHyphens/>
        <w:jc w:val="both"/>
        <w:rPr>
          <w:rFonts w:hint="eastAsia" w:ascii="楷体" w:hAnsi="Times New Roman" w:eastAsia="楷体"/>
          <w:spacing w:val="-2"/>
          <w:sz w:val="22"/>
          <w:szCs w:val="22"/>
        </w:rPr>
      </w:pPr>
      <w:r>
        <w:rPr>
          <w:rFonts w:ascii="楷体" w:hAnsi="Times New Roman" w:eastAsia="楷体"/>
          <w:spacing w:val="-2"/>
          <w:sz w:val="22"/>
          <w:szCs w:val="22"/>
        </w:rPr>
        <w:t>*</w:t>
      </w:r>
      <w:r>
        <w:rPr>
          <w:rFonts w:hint="eastAsia" w:ascii="楷体" w:hAnsi="Times New Roman" w:eastAsia="楷体"/>
          <w:spacing w:val="-2"/>
          <w:sz w:val="22"/>
          <w:szCs w:val="22"/>
        </w:rPr>
        <w:t xml:space="preserve">      起效快，时效长</w:t>
      </w:r>
    </w:p>
    <w:p>
      <w:pPr>
        <w:suppressAutoHyphens/>
        <w:jc w:val="both"/>
        <w:rPr>
          <w:rFonts w:hint="eastAsia" w:ascii="楷体" w:hAnsi="Times New Roman" w:eastAsia="楷体"/>
          <w:spacing w:val="-2"/>
          <w:sz w:val="22"/>
          <w:szCs w:val="22"/>
        </w:rPr>
      </w:pPr>
      <w:r>
        <w:rPr>
          <w:rFonts w:hint="eastAsia" w:ascii="楷体" w:hAnsi="Times New Roman" w:eastAsia="楷体"/>
          <w:spacing w:val="-2"/>
          <w:sz w:val="22"/>
          <w:szCs w:val="22"/>
        </w:rPr>
        <w:t>*      适宜于储存和使用周期较长的薄膜</w:t>
      </w:r>
    </w:p>
    <w:p>
      <w:pPr>
        <w:suppressAutoHyphens/>
        <w:jc w:val="both"/>
        <w:rPr>
          <w:rFonts w:hint="eastAsia" w:ascii="楷体" w:hAnsi="Times New Roman" w:eastAsia="楷体"/>
          <w:spacing w:val="-2"/>
          <w:sz w:val="24"/>
        </w:rPr>
      </w:pPr>
    </w:p>
    <w:p>
      <w:pPr>
        <w:suppressAutoHyphens/>
        <w:jc w:val="both"/>
        <w:rPr>
          <w:rFonts w:hint="eastAsia" w:ascii="楷体" w:hAnsi="Times New Roman" w:eastAsia="楷体"/>
          <w:b/>
          <w:spacing w:val="-2"/>
          <w:sz w:val="24"/>
          <w:szCs w:val="24"/>
        </w:rPr>
      </w:pPr>
      <w:r>
        <w:rPr>
          <w:rFonts w:hint="eastAsia" w:ascii="楷体" w:hAnsi="Times New Roman" w:eastAsia="楷体"/>
          <w:b/>
          <w:spacing w:val="-2"/>
          <w:sz w:val="24"/>
          <w:szCs w:val="24"/>
        </w:rPr>
        <w:t>典型性能</w:t>
      </w:r>
    </w:p>
    <w:p>
      <w:pPr>
        <w:tabs>
          <w:tab w:val="left" w:pos="-720"/>
          <w:tab w:val="left" w:pos="0"/>
          <w:tab w:val="left" w:pos="720"/>
          <w:tab w:val="left" w:pos="1440"/>
          <w:tab w:val="left" w:pos="2160"/>
          <w:tab w:val="left" w:pos="2884"/>
          <w:tab w:val="left" w:pos="3600"/>
        </w:tabs>
        <w:suppressAutoHyphens/>
        <w:ind w:left="4320" w:hanging="4320"/>
        <w:jc w:val="both"/>
        <w:rPr>
          <w:rFonts w:hint="eastAsia" w:ascii="楷体" w:hAnsi="Times New Roman" w:eastAsia="楷体"/>
          <w:spacing w:val="-2"/>
          <w:sz w:val="22"/>
          <w:szCs w:val="22"/>
        </w:rPr>
      </w:pPr>
      <w:r>
        <w:rPr>
          <w:rFonts w:hint="eastAsia" w:ascii="楷体" w:hAnsi="Times New Roman" w:eastAsia="楷体"/>
          <w:spacing w:val="-2"/>
          <w:sz w:val="22"/>
          <w:szCs w:val="22"/>
        </w:rPr>
        <w:t>熔融指数</w:t>
      </w:r>
      <w:r>
        <w:rPr>
          <w:rFonts w:ascii="楷体" w:hAnsi="Times New Roman" w:eastAsia="楷体"/>
          <w:spacing w:val="-2"/>
          <w:sz w:val="22"/>
          <w:szCs w:val="22"/>
        </w:rPr>
        <w:t>(</w:t>
      </w:r>
      <w:r>
        <w:rPr>
          <w:rFonts w:hint="eastAsia" w:ascii="楷体" w:hAnsi="Times New Roman" w:eastAsia="楷体"/>
          <w:spacing w:val="-2"/>
          <w:sz w:val="22"/>
          <w:szCs w:val="22"/>
        </w:rPr>
        <w:t>19</w:t>
      </w:r>
      <w:r>
        <w:rPr>
          <w:rFonts w:ascii="楷体" w:hAnsi="Times New Roman" w:eastAsia="楷体"/>
          <w:spacing w:val="-2"/>
          <w:sz w:val="22"/>
          <w:szCs w:val="22"/>
        </w:rPr>
        <w:t>0</w:t>
      </w:r>
      <w:r>
        <w:rPr>
          <w:rFonts w:ascii="楷体" w:hAnsi="Times New Roman" w:eastAsia="楷体"/>
          <w:spacing w:val="-2"/>
          <w:sz w:val="22"/>
          <w:szCs w:val="22"/>
          <w:vertAlign w:val="superscript"/>
        </w:rPr>
        <w:t>o</w:t>
      </w:r>
      <w:r>
        <w:rPr>
          <w:rFonts w:ascii="楷体" w:hAnsi="Times New Roman" w:eastAsia="楷体"/>
          <w:spacing w:val="-2"/>
          <w:sz w:val="22"/>
          <w:szCs w:val="22"/>
        </w:rPr>
        <w:t>C/2.16 kg)</w:t>
      </w:r>
      <w:r>
        <w:rPr>
          <w:rFonts w:ascii="楷体" w:hAnsi="Times New Roman" w:eastAsia="楷体"/>
          <w:spacing w:val="-2"/>
          <w:sz w:val="22"/>
          <w:szCs w:val="22"/>
        </w:rPr>
        <w:tab/>
      </w:r>
      <w:r>
        <w:rPr>
          <w:rFonts w:ascii="楷体" w:hAnsi="Times New Roman" w:eastAsia="楷体"/>
          <w:spacing w:val="-2"/>
          <w:sz w:val="22"/>
          <w:szCs w:val="22"/>
        </w:rPr>
        <w:t>:</w:t>
      </w:r>
      <w:r>
        <w:rPr>
          <w:rFonts w:ascii="楷体" w:hAnsi="Times New Roman" w:eastAsia="楷体"/>
          <w:spacing w:val="-2"/>
          <w:sz w:val="22"/>
          <w:szCs w:val="22"/>
        </w:rPr>
        <w:tab/>
      </w:r>
      <w:r>
        <w:rPr>
          <w:rFonts w:hint="eastAsia" w:ascii="楷体" w:hAnsi="Times New Roman" w:eastAsia="楷体"/>
          <w:spacing w:val="-2"/>
          <w:sz w:val="22"/>
          <w:szCs w:val="22"/>
        </w:rPr>
        <w:t>55</w:t>
      </w:r>
      <w:r>
        <w:rPr>
          <w:rFonts w:ascii="楷体" w:hAnsi="Times New Roman" w:eastAsia="楷体"/>
          <w:spacing w:val="-2"/>
          <w:sz w:val="22"/>
          <w:szCs w:val="22"/>
        </w:rPr>
        <w:t>g/10 min</w:t>
      </w:r>
    </w:p>
    <w:p>
      <w:pPr>
        <w:tabs>
          <w:tab w:val="left" w:pos="-720"/>
          <w:tab w:val="left" w:pos="0"/>
          <w:tab w:val="left" w:pos="720"/>
          <w:tab w:val="left" w:pos="1440"/>
          <w:tab w:val="left" w:pos="2160"/>
          <w:tab w:val="left" w:pos="2880"/>
          <w:tab w:val="left" w:pos="3600"/>
        </w:tabs>
        <w:suppressAutoHyphens/>
        <w:ind w:left="4320" w:hanging="4320"/>
        <w:jc w:val="both"/>
        <w:rPr>
          <w:rFonts w:hint="eastAsia" w:ascii="楷体" w:hAnsi="Times New Roman" w:eastAsia="楷体"/>
          <w:spacing w:val="-2"/>
          <w:sz w:val="22"/>
          <w:szCs w:val="22"/>
        </w:rPr>
      </w:pPr>
      <w:r>
        <w:rPr>
          <w:rFonts w:hint="eastAsia" w:ascii="楷体" w:hAnsi="Times New Roman" w:eastAsia="楷体"/>
          <w:spacing w:val="-2"/>
          <w:sz w:val="22"/>
          <w:szCs w:val="22"/>
        </w:rPr>
        <w:t>相容性</w:t>
      </w:r>
      <w:r>
        <w:rPr>
          <w:rFonts w:hint="eastAsia" w:ascii="楷体" w:hAnsi="Times New Roman" w:eastAsia="楷体"/>
          <w:spacing w:val="-2"/>
          <w:sz w:val="22"/>
          <w:szCs w:val="22"/>
        </w:rPr>
        <w:tab/>
      </w:r>
      <w:r>
        <w:rPr>
          <w:rFonts w:hint="eastAsia" w:ascii="楷体" w:hAnsi="Times New Roman" w:eastAsia="楷体"/>
          <w:spacing w:val="-2"/>
          <w:sz w:val="22"/>
          <w:szCs w:val="22"/>
        </w:rPr>
        <w:tab/>
      </w:r>
      <w:r>
        <w:rPr>
          <w:rFonts w:hint="eastAsia" w:ascii="楷体" w:hAnsi="Times New Roman" w:eastAsia="楷体"/>
          <w:spacing w:val="-2"/>
          <w:sz w:val="22"/>
          <w:szCs w:val="22"/>
        </w:rPr>
        <w:tab/>
      </w:r>
      <w:r>
        <w:rPr>
          <w:rFonts w:ascii="楷体" w:hAnsi="Times New Roman" w:eastAsia="楷体"/>
          <w:spacing w:val="-2"/>
          <w:sz w:val="22"/>
          <w:szCs w:val="22"/>
        </w:rPr>
        <w:tab/>
      </w:r>
      <w:r>
        <w:rPr>
          <w:rFonts w:hint="eastAsia" w:ascii="楷体" w:hAnsi="Times New Roman" w:eastAsia="楷体"/>
          <w:spacing w:val="-2"/>
          <w:sz w:val="22"/>
          <w:szCs w:val="22"/>
        </w:rPr>
        <w:t>：</w:t>
      </w:r>
      <w:r>
        <w:rPr>
          <w:rFonts w:hint="eastAsia" w:ascii="楷体" w:hAnsi="Times New Roman" w:eastAsia="楷体"/>
          <w:spacing w:val="-2"/>
          <w:sz w:val="22"/>
          <w:szCs w:val="22"/>
        </w:rPr>
        <w:tab/>
      </w:r>
      <w:r>
        <w:rPr>
          <w:rFonts w:hint="eastAsia" w:ascii="楷体" w:hAnsi="Times New Roman" w:eastAsia="楷体"/>
          <w:spacing w:val="-2"/>
          <w:sz w:val="22"/>
          <w:szCs w:val="22"/>
        </w:rPr>
        <w:t>PE</w:t>
      </w:r>
    </w:p>
    <w:p>
      <w:pPr>
        <w:tabs>
          <w:tab w:val="left" w:pos="-720"/>
          <w:tab w:val="left" w:pos="0"/>
          <w:tab w:val="left" w:pos="720"/>
          <w:tab w:val="left" w:pos="1440"/>
          <w:tab w:val="left" w:pos="2160"/>
          <w:tab w:val="left" w:pos="2880"/>
          <w:tab w:val="left" w:pos="3600"/>
        </w:tabs>
        <w:suppressAutoHyphens/>
        <w:ind w:left="4320" w:hanging="4320"/>
        <w:jc w:val="both"/>
        <w:rPr>
          <w:rFonts w:hint="eastAsia" w:ascii="楷体" w:hAnsi="Times New Roman" w:eastAsia="楷体"/>
          <w:spacing w:val="-2"/>
          <w:sz w:val="22"/>
          <w:szCs w:val="22"/>
        </w:rPr>
      </w:pPr>
      <w:r>
        <w:rPr>
          <w:rFonts w:hint="eastAsia" w:ascii="楷体" w:hAnsi="Times New Roman" w:eastAsia="楷体"/>
          <w:spacing w:val="-2"/>
          <w:sz w:val="22"/>
          <w:szCs w:val="22"/>
        </w:rPr>
        <w:t>外观颜色                  ：     浅白色</w:t>
      </w:r>
    </w:p>
    <w:p>
      <w:pPr>
        <w:tabs>
          <w:tab w:val="left" w:pos="-720"/>
          <w:tab w:val="left" w:pos="0"/>
          <w:tab w:val="left" w:pos="720"/>
          <w:tab w:val="left" w:pos="1440"/>
          <w:tab w:val="left" w:pos="2160"/>
          <w:tab w:val="left" w:pos="2880"/>
          <w:tab w:val="left" w:pos="3600"/>
        </w:tabs>
        <w:suppressAutoHyphens/>
        <w:ind w:left="4320" w:hanging="4320"/>
        <w:jc w:val="both"/>
        <w:rPr>
          <w:rFonts w:hint="eastAsia" w:ascii="楷体" w:hAnsi="Times New Roman" w:eastAsia="楷体"/>
          <w:spacing w:val="-2"/>
          <w:sz w:val="22"/>
          <w:szCs w:val="22"/>
        </w:rPr>
      </w:pPr>
    </w:p>
    <w:p>
      <w:pPr>
        <w:tabs>
          <w:tab w:val="left" w:pos="-720"/>
        </w:tabs>
        <w:suppressAutoHyphens/>
        <w:jc w:val="both"/>
        <w:rPr>
          <w:rFonts w:ascii="楷体" w:hAnsi="Times New Roman" w:eastAsia="楷体"/>
          <w:b/>
          <w:spacing w:val="-2"/>
          <w:sz w:val="24"/>
          <w:szCs w:val="24"/>
        </w:rPr>
      </w:pPr>
      <w:r>
        <w:rPr>
          <w:rFonts w:hint="eastAsia" w:ascii="楷体" w:hAnsi="Times New Roman" w:eastAsia="楷体"/>
          <w:b/>
          <w:spacing w:val="-2"/>
          <w:sz w:val="24"/>
          <w:szCs w:val="24"/>
        </w:rPr>
        <w:t>使用方法</w:t>
      </w:r>
    </w:p>
    <w:p>
      <w:pPr>
        <w:tabs>
          <w:tab w:val="left" w:pos="-720"/>
        </w:tabs>
        <w:suppressAutoHyphens/>
        <w:jc w:val="both"/>
        <w:rPr>
          <w:rFonts w:hint="eastAsia" w:ascii="楷体" w:hAnsi="Times New Roman" w:eastAsia="楷体"/>
          <w:spacing w:val="-2"/>
          <w:sz w:val="22"/>
          <w:szCs w:val="22"/>
        </w:rPr>
      </w:pPr>
      <w:r>
        <w:rPr>
          <w:rFonts w:hint="eastAsia" w:ascii="楷体" w:hAnsi="Times New Roman" w:eastAsia="楷体"/>
          <w:spacing w:val="-2"/>
          <w:sz w:val="22"/>
          <w:szCs w:val="22"/>
        </w:rPr>
        <w:t>该母料应在使用前与基本树脂预混，也可通过计量装置直接加进挤出机。</w:t>
      </w:r>
    </w:p>
    <w:p>
      <w:pPr>
        <w:tabs>
          <w:tab w:val="left" w:pos="-720"/>
        </w:tabs>
        <w:suppressAutoHyphens/>
        <w:jc w:val="both"/>
        <w:rPr>
          <w:rFonts w:hint="eastAsia" w:ascii="Abadi MT Condensed" w:hAnsi="Abadi MT Condensed" w:eastAsia="楷体"/>
          <w:spacing w:val="-2"/>
          <w:sz w:val="22"/>
          <w:szCs w:val="22"/>
        </w:rPr>
      </w:pPr>
      <w:r>
        <w:rPr>
          <w:rFonts w:hint="eastAsia" w:ascii="Abadi MT Condensed" w:hAnsi="Abadi MT Condensed" w:eastAsia="楷体"/>
          <w:spacing w:val="-2"/>
          <w:sz w:val="22"/>
          <w:szCs w:val="22"/>
        </w:rPr>
        <w:t>通常的添加量在3-10%，过量有可能对热封性能产生影响，建议做热封试验，</w:t>
      </w:r>
    </w:p>
    <w:p>
      <w:pPr>
        <w:tabs>
          <w:tab w:val="left" w:pos="-720"/>
        </w:tabs>
        <w:suppressAutoHyphens/>
        <w:jc w:val="both"/>
        <w:rPr>
          <w:rFonts w:hint="eastAsia" w:ascii="Abadi MT Condensed" w:hAnsi="Abadi MT Condensed" w:eastAsia="楷体"/>
          <w:spacing w:val="-2"/>
          <w:sz w:val="22"/>
          <w:szCs w:val="22"/>
        </w:rPr>
      </w:pPr>
      <w:r>
        <w:rPr>
          <w:rFonts w:hint="eastAsia" w:ascii="Abadi MT Condensed" w:hAnsi="Abadi MT Condensed" w:eastAsia="楷体"/>
          <w:spacing w:val="-2"/>
          <w:sz w:val="22"/>
          <w:szCs w:val="22"/>
        </w:rPr>
        <w:t>最理想的添加量必须经过试验确定。</w:t>
      </w:r>
    </w:p>
    <w:p>
      <w:pPr>
        <w:tabs>
          <w:tab w:val="left" w:pos="-720"/>
        </w:tabs>
        <w:suppressAutoHyphens/>
        <w:jc w:val="both"/>
        <w:rPr>
          <w:rFonts w:hint="eastAsia" w:ascii="楷体" w:hAnsi="Times New Roman" w:eastAsia="楷体"/>
          <w:spacing w:val="-2"/>
          <w:sz w:val="24"/>
        </w:rPr>
      </w:pPr>
    </w:p>
    <w:p>
      <w:pPr>
        <w:tabs>
          <w:tab w:val="left" w:pos="-720"/>
        </w:tabs>
        <w:suppressAutoHyphens/>
        <w:jc w:val="both"/>
        <w:outlineLvl w:val="0"/>
        <w:rPr>
          <w:rFonts w:hint="eastAsia" w:ascii="Abadi MT Condensed" w:hAnsi="Abadi MT Condensed" w:eastAsia="楷体"/>
          <w:b/>
          <w:spacing w:val="-2"/>
          <w:sz w:val="24"/>
          <w:szCs w:val="24"/>
        </w:rPr>
      </w:pPr>
      <w:r>
        <w:rPr>
          <w:rFonts w:hint="eastAsia" w:ascii="Abadi MT Condensed" w:hAnsi="Abadi MT Condensed" w:eastAsia="楷体"/>
          <w:b/>
          <w:spacing w:val="-2"/>
          <w:sz w:val="24"/>
          <w:szCs w:val="24"/>
        </w:rPr>
        <w:t>包装、储存</w:t>
      </w:r>
    </w:p>
    <w:p>
      <w:pPr>
        <w:suppressAutoHyphens/>
        <w:jc w:val="both"/>
        <w:rPr>
          <w:rFonts w:hint="eastAsia" w:ascii="楷体" w:hAnsi="Abadi MT Condensed" w:eastAsia="楷体"/>
          <w:spacing w:val="-2"/>
          <w:sz w:val="22"/>
          <w:szCs w:val="22"/>
        </w:rPr>
      </w:pPr>
      <w:r>
        <w:rPr>
          <w:rFonts w:hint="eastAsia" w:ascii="楷体" w:hAnsi="Times New Roman" w:eastAsia="楷体"/>
          <w:spacing w:val="-2"/>
          <w:sz w:val="22"/>
          <w:szCs w:val="22"/>
        </w:rPr>
        <w:t>HM13-10051被制成</w:t>
      </w:r>
      <w:r>
        <w:rPr>
          <w:rFonts w:hint="eastAsia" w:ascii="楷体" w:hAnsi="Abadi MT Condensed" w:eastAsia="楷体"/>
          <w:spacing w:val="-2"/>
          <w:sz w:val="22"/>
          <w:szCs w:val="22"/>
        </w:rPr>
        <w:t>易于流动的粒状，便于加工成型，每袋25公斤包装。</w:t>
      </w:r>
    </w:p>
    <w:p>
      <w:pPr>
        <w:suppressAutoHyphens/>
        <w:jc w:val="both"/>
        <w:rPr>
          <w:rFonts w:hint="eastAsia" w:ascii="楷体" w:hAnsi="Abadi MT Condensed" w:eastAsia="楷体"/>
          <w:spacing w:val="-2"/>
          <w:sz w:val="22"/>
          <w:szCs w:val="22"/>
        </w:rPr>
      </w:pPr>
      <w:r>
        <w:rPr>
          <w:rFonts w:hint="eastAsia" w:ascii="楷体" w:hAnsi="Abadi MT Condensed" w:eastAsia="楷体"/>
          <w:spacing w:val="-2"/>
          <w:sz w:val="22"/>
          <w:szCs w:val="22"/>
        </w:rPr>
        <w:t>开封使用后应在短期内使用完，避免吸潮影响性能。为确保品质,应储存在干燥通风处。</w:t>
      </w:r>
    </w:p>
    <w:p>
      <w:pPr>
        <w:ind w:firstLine="3778" w:firstLineChars="1568"/>
        <w:rPr>
          <w:rFonts w:ascii="楷体" w:hAnsi="楷体" w:eastAsia="楷体"/>
          <w:b/>
          <w:bCs/>
          <w:sz w:val="24"/>
          <w:szCs w:val="24"/>
        </w:rPr>
      </w:pPr>
      <w:r>
        <w:rPr>
          <w:rStyle w:val="5"/>
          <w:rFonts w:hint="eastAsia" w:ascii="楷体" w:hAnsi="楷体" w:eastAsia="楷体"/>
          <w:sz w:val="24"/>
          <w:szCs w:val="24"/>
        </w:rPr>
        <w:t>食品防雾性能等级：</w:t>
      </w:r>
    </w:p>
    <w:tbl>
      <w:tblPr>
        <w:tblStyle w:val="3"/>
        <w:tblW w:w="0" w:type="auto"/>
        <w:jc w:val="center"/>
        <w:tblLayout w:type="fixed"/>
        <w:tblCellMar>
          <w:top w:w="0" w:type="dxa"/>
          <w:left w:w="108" w:type="dxa"/>
          <w:bottom w:w="0" w:type="dxa"/>
          <w:right w:w="108" w:type="dxa"/>
        </w:tblCellMar>
      </w:tblPr>
      <w:tblGrid>
        <w:gridCol w:w="5394"/>
        <w:gridCol w:w="1687"/>
        <w:gridCol w:w="906"/>
      </w:tblGrid>
      <w:tr>
        <w:tblPrEx>
          <w:tblCellMar>
            <w:top w:w="0" w:type="dxa"/>
            <w:left w:w="108" w:type="dxa"/>
            <w:bottom w:w="0" w:type="dxa"/>
            <w:right w:w="108" w:type="dxa"/>
          </w:tblCellMar>
        </w:tblPrEx>
        <w:trPr>
          <w:trHeight w:val="431" w:hRule="atLeast"/>
          <w:jc w:val="center"/>
        </w:trPr>
        <w:tc>
          <w:tcPr>
            <w:tcW w:w="53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 w:hAnsi="楷体" w:eastAsia="楷体" w:cs="Cordia New"/>
              </w:rPr>
            </w:pPr>
            <w:r>
              <w:rPr>
                <w:rFonts w:hint="eastAsia" w:ascii="楷体" w:hAnsi="楷体" w:eastAsia="楷体" w:cs="Cordia New"/>
              </w:rPr>
              <w:t>描述</w:t>
            </w:r>
          </w:p>
        </w:tc>
        <w:tc>
          <w:tcPr>
            <w:tcW w:w="1687" w:type="dxa"/>
            <w:tcBorders>
              <w:top w:val="single" w:color="auto" w:sz="4" w:space="0"/>
              <w:left w:val="nil"/>
              <w:bottom w:val="single" w:color="auto" w:sz="4" w:space="0"/>
              <w:right w:val="single" w:color="auto" w:sz="4" w:space="0"/>
            </w:tcBorders>
            <w:noWrap w:val="0"/>
            <w:vAlign w:val="center"/>
          </w:tcPr>
          <w:p>
            <w:pPr>
              <w:jc w:val="center"/>
              <w:rPr>
                <w:rFonts w:hint="eastAsia" w:ascii="楷体" w:hAnsi="楷体" w:eastAsia="楷体" w:cs="Cordia New"/>
              </w:rPr>
            </w:pPr>
            <w:r>
              <w:rPr>
                <w:rFonts w:hint="eastAsia" w:ascii="楷体" w:hAnsi="楷体" w:eastAsia="楷体" w:cs="Cordia New"/>
              </w:rPr>
              <w:t>性能</w:t>
            </w:r>
          </w:p>
        </w:tc>
        <w:tc>
          <w:tcPr>
            <w:tcW w:w="906" w:type="dxa"/>
            <w:tcBorders>
              <w:top w:val="single" w:color="auto" w:sz="4" w:space="0"/>
              <w:left w:val="nil"/>
              <w:bottom w:val="single" w:color="auto" w:sz="4" w:space="0"/>
              <w:right w:val="single" w:color="auto" w:sz="4" w:space="0"/>
            </w:tcBorders>
            <w:noWrap w:val="0"/>
            <w:vAlign w:val="center"/>
          </w:tcPr>
          <w:p>
            <w:pPr>
              <w:jc w:val="center"/>
              <w:rPr>
                <w:rFonts w:hint="eastAsia" w:ascii="楷体" w:hAnsi="楷体" w:eastAsia="楷体" w:cs="Cordia New"/>
              </w:rPr>
            </w:pPr>
            <w:r>
              <w:rPr>
                <w:rFonts w:hint="eastAsia" w:ascii="楷体" w:hAnsi="楷体" w:eastAsia="楷体" w:cs="Cordia New"/>
              </w:rPr>
              <w:t>等级</w:t>
            </w:r>
          </w:p>
        </w:tc>
      </w:tr>
      <w:tr>
        <w:tblPrEx>
          <w:tblCellMar>
            <w:top w:w="0" w:type="dxa"/>
            <w:left w:w="108" w:type="dxa"/>
            <w:bottom w:w="0" w:type="dxa"/>
            <w:right w:w="108" w:type="dxa"/>
          </w:tblCellMar>
        </w:tblPrEx>
        <w:trPr>
          <w:trHeight w:val="445" w:hRule="atLeast"/>
          <w:jc w:val="center"/>
        </w:trPr>
        <w:tc>
          <w:tcPr>
            <w:tcW w:w="5394" w:type="dxa"/>
            <w:tcBorders>
              <w:top w:val="nil"/>
              <w:left w:val="single" w:color="auto" w:sz="4" w:space="0"/>
              <w:bottom w:val="single" w:color="auto" w:sz="4" w:space="0"/>
              <w:right w:val="nil"/>
            </w:tcBorders>
            <w:noWrap w:val="0"/>
            <w:vAlign w:val="center"/>
          </w:tcPr>
          <w:p>
            <w:pPr>
              <w:rPr>
                <w:rFonts w:hint="eastAsia" w:ascii="楷体" w:hAnsi="楷体" w:eastAsia="楷体" w:cs="Cordia New"/>
              </w:rPr>
            </w:pPr>
            <w:r>
              <w:rPr>
                <w:rFonts w:hint="eastAsia" w:ascii="楷体" w:hAnsi="楷体" w:eastAsia="楷体" w:cs="Cordia New"/>
              </w:rPr>
              <w:t>小雾滴形成整层不透明</w:t>
            </w:r>
          </w:p>
        </w:tc>
        <w:tc>
          <w:tcPr>
            <w:tcW w:w="1687" w:type="dxa"/>
            <w:tcBorders>
              <w:top w:val="nil"/>
              <w:left w:val="single" w:color="auto" w:sz="4" w:space="0"/>
              <w:bottom w:val="single" w:color="auto" w:sz="4" w:space="0"/>
              <w:right w:val="single" w:color="auto" w:sz="4" w:space="0"/>
            </w:tcBorders>
            <w:noWrap w:val="0"/>
            <w:vAlign w:val="center"/>
          </w:tcPr>
          <w:p>
            <w:pPr>
              <w:jc w:val="center"/>
              <w:rPr>
                <w:rFonts w:ascii="楷体" w:hAnsi="楷体" w:eastAsia="楷体" w:cs="Cordia New"/>
              </w:rPr>
            </w:pPr>
            <w:r>
              <w:rPr>
                <w:rFonts w:ascii="楷体" w:hAnsi="楷体" w:eastAsia="楷体" w:cs="Cordia New"/>
              </w:rPr>
              <w:t>A</w:t>
            </w:r>
          </w:p>
        </w:tc>
        <w:tc>
          <w:tcPr>
            <w:tcW w:w="906" w:type="dxa"/>
            <w:tcBorders>
              <w:top w:val="nil"/>
              <w:left w:val="nil"/>
              <w:bottom w:val="single" w:color="auto" w:sz="4" w:space="0"/>
              <w:right w:val="single" w:color="auto" w:sz="4" w:space="0"/>
            </w:tcBorders>
            <w:noWrap w:val="0"/>
            <w:vAlign w:val="center"/>
          </w:tcPr>
          <w:p>
            <w:pPr>
              <w:jc w:val="center"/>
              <w:rPr>
                <w:rFonts w:ascii="楷体" w:hAnsi="楷体" w:eastAsia="楷体" w:cs="Cordia New"/>
              </w:rPr>
            </w:pPr>
            <w:r>
              <w:rPr>
                <w:rFonts w:ascii="楷体" w:hAnsi="楷体" w:eastAsia="楷体" w:cs="Cordia New"/>
              </w:rPr>
              <w:t>1</w:t>
            </w:r>
          </w:p>
        </w:tc>
      </w:tr>
      <w:tr>
        <w:tblPrEx>
          <w:tblCellMar>
            <w:top w:w="0" w:type="dxa"/>
            <w:left w:w="108" w:type="dxa"/>
            <w:bottom w:w="0" w:type="dxa"/>
            <w:right w:w="108" w:type="dxa"/>
          </w:tblCellMar>
        </w:tblPrEx>
        <w:trPr>
          <w:trHeight w:val="445" w:hRule="atLeast"/>
          <w:jc w:val="center"/>
        </w:trPr>
        <w:tc>
          <w:tcPr>
            <w:tcW w:w="5394" w:type="dxa"/>
            <w:tcBorders>
              <w:top w:val="nil"/>
              <w:left w:val="single" w:color="auto" w:sz="4" w:space="0"/>
              <w:bottom w:val="nil"/>
              <w:right w:val="nil"/>
            </w:tcBorders>
            <w:noWrap w:val="0"/>
            <w:vAlign w:val="center"/>
          </w:tcPr>
          <w:p>
            <w:pPr>
              <w:rPr>
                <w:rFonts w:ascii="楷体" w:hAnsi="楷体" w:eastAsia="楷体" w:cs="Cordia New"/>
              </w:rPr>
            </w:pPr>
            <w:r>
              <w:rPr>
                <w:rFonts w:hint="eastAsia" w:ascii="楷体" w:hAnsi="楷体" w:eastAsia="楷体" w:cs="Cordia New"/>
              </w:rPr>
              <w:t>大水滴造成不透明或透明层</w:t>
            </w:r>
            <w:r>
              <w:rPr>
                <w:rFonts w:ascii="楷体" w:hAnsi="楷体" w:eastAsia="楷体" w:cs="Cordia New"/>
              </w:rPr>
              <w:t xml:space="preserve"> </w:t>
            </w:r>
          </w:p>
        </w:tc>
        <w:tc>
          <w:tcPr>
            <w:tcW w:w="1687" w:type="dxa"/>
            <w:tcBorders>
              <w:top w:val="nil"/>
              <w:left w:val="single" w:color="auto" w:sz="4" w:space="0"/>
              <w:bottom w:val="single" w:color="auto" w:sz="4" w:space="0"/>
              <w:right w:val="single" w:color="auto" w:sz="4" w:space="0"/>
            </w:tcBorders>
            <w:noWrap w:val="0"/>
            <w:vAlign w:val="center"/>
          </w:tcPr>
          <w:p>
            <w:pPr>
              <w:jc w:val="center"/>
              <w:rPr>
                <w:rFonts w:ascii="楷体" w:hAnsi="楷体" w:eastAsia="楷体" w:cs="Cordia New"/>
              </w:rPr>
            </w:pPr>
            <w:r>
              <w:rPr>
                <w:rFonts w:ascii="楷体" w:hAnsi="楷体" w:eastAsia="楷体" w:cs="Cordia New"/>
              </w:rPr>
              <w:t>A/B</w:t>
            </w:r>
          </w:p>
        </w:tc>
        <w:tc>
          <w:tcPr>
            <w:tcW w:w="906" w:type="dxa"/>
            <w:tcBorders>
              <w:top w:val="nil"/>
              <w:left w:val="nil"/>
              <w:bottom w:val="single" w:color="auto" w:sz="4" w:space="0"/>
              <w:right w:val="single" w:color="auto" w:sz="4" w:space="0"/>
            </w:tcBorders>
            <w:noWrap w:val="0"/>
            <w:vAlign w:val="center"/>
          </w:tcPr>
          <w:p>
            <w:pPr>
              <w:jc w:val="center"/>
              <w:rPr>
                <w:rFonts w:ascii="楷体" w:hAnsi="楷体" w:eastAsia="楷体" w:cs="Cordia New"/>
              </w:rPr>
            </w:pPr>
            <w:r>
              <w:rPr>
                <w:rFonts w:ascii="楷体" w:hAnsi="楷体" w:eastAsia="楷体" w:cs="Cordia New"/>
              </w:rPr>
              <w:t>2</w:t>
            </w:r>
          </w:p>
        </w:tc>
      </w:tr>
      <w:tr>
        <w:tblPrEx>
          <w:tblCellMar>
            <w:top w:w="0" w:type="dxa"/>
            <w:left w:w="108" w:type="dxa"/>
            <w:bottom w:w="0" w:type="dxa"/>
            <w:right w:w="108" w:type="dxa"/>
          </w:tblCellMar>
        </w:tblPrEx>
        <w:trPr>
          <w:trHeight w:val="445" w:hRule="atLeast"/>
          <w:jc w:val="center"/>
        </w:trPr>
        <w:tc>
          <w:tcPr>
            <w:tcW w:w="5394" w:type="dxa"/>
            <w:tcBorders>
              <w:top w:val="nil"/>
              <w:left w:val="single" w:color="auto" w:sz="4" w:space="0"/>
              <w:bottom w:val="single" w:color="auto" w:sz="4" w:space="0"/>
              <w:right w:val="nil"/>
            </w:tcBorders>
            <w:noWrap w:val="0"/>
            <w:vAlign w:val="center"/>
          </w:tcPr>
          <w:p>
            <w:pPr>
              <w:rPr>
                <w:rFonts w:ascii="楷体" w:hAnsi="楷体" w:eastAsia="楷体" w:cs="Cordia New"/>
              </w:rPr>
            </w:pPr>
          </w:p>
        </w:tc>
        <w:tc>
          <w:tcPr>
            <w:tcW w:w="1687" w:type="dxa"/>
            <w:tcBorders>
              <w:top w:val="nil"/>
              <w:left w:val="single" w:color="auto" w:sz="4" w:space="0"/>
              <w:bottom w:val="single" w:color="auto" w:sz="4" w:space="0"/>
              <w:right w:val="single" w:color="auto" w:sz="4" w:space="0"/>
            </w:tcBorders>
            <w:noWrap w:val="0"/>
            <w:vAlign w:val="center"/>
          </w:tcPr>
          <w:p>
            <w:pPr>
              <w:jc w:val="center"/>
              <w:rPr>
                <w:rFonts w:ascii="楷体" w:hAnsi="楷体" w:eastAsia="楷体" w:cs="Cordia New"/>
              </w:rPr>
            </w:pPr>
            <w:r>
              <w:rPr>
                <w:rFonts w:ascii="楷体" w:hAnsi="楷体" w:eastAsia="楷体" w:cs="Cordia New"/>
              </w:rPr>
              <w:t>B</w:t>
            </w:r>
          </w:p>
        </w:tc>
        <w:tc>
          <w:tcPr>
            <w:tcW w:w="906" w:type="dxa"/>
            <w:tcBorders>
              <w:top w:val="nil"/>
              <w:left w:val="nil"/>
              <w:bottom w:val="single" w:color="auto" w:sz="4" w:space="0"/>
              <w:right w:val="single" w:color="auto" w:sz="4" w:space="0"/>
            </w:tcBorders>
            <w:noWrap w:val="0"/>
            <w:vAlign w:val="center"/>
          </w:tcPr>
          <w:p>
            <w:pPr>
              <w:jc w:val="center"/>
              <w:rPr>
                <w:rFonts w:ascii="楷体" w:hAnsi="楷体" w:eastAsia="楷体" w:cs="Cordia New"/>
              </w:rPr>
            </w:pPr>
            <w:r>
              <w:rPr>
                <w:rFonts w:ascii="楷体" w:hAnsi="楷体" w:eastAsia="楷体" w:cs="Cordia New"/>
              </w:rPr>
              <w:t>3</w:t>
            </w:r>
          </w:p>
        </w:tc>
      </w:tr>
      <w:tr>
        <w:tblPrEx>
          <w:tblCellMar>
            <w:top w:w="0" w:type="dxa"/>
            <w:left w:w="108" w:type="dxa"/>
            <w:bottom w:w="0" w:type="dxa"/>
            <w:right w:w="108" w:type="dxa"/>
          </w:tblCellMar>
        </w:tblPrEx>
        <w:trPr>
          <w:trHeight w:val="445" w:hRule="atLeast"/>
          <w:jc w:val="center"/>
        </w:trPr>
        <w:tc>
          <w:tcPr>
            <w:tcW w:w="5394" w:type="dxa"/>
            <w:tcBorders>
              <w:top w:val="nil"/>
              <w:left w:val="single" w:color="auto" w:sz="4" w:space="0"/>
              <w:bottom w:val="nil"/>
              <w:right w:val="nil"/>
            </w:tcBorders>
            <w:noWrap w:val="0"/>
            <w:vAlign w:val="center"/>
          </w:tcPr>
          <w:p>
            <w:pPr>
              <w:rPr>
                <w:rFonts w:ascii="楷体" w:hAnsi="楷体" w:eastAsia="楷体" w:cs="Cordia New"/>
              </w:rPr>
            </w:pPr>
            <w:r>
              <w:rPr>
                <w:rFonts w:hint="eastAsia" w:ascii="楷体" w:hAnsi="楷体" w:eastAsia="楷体" w:cs="Cordia New"/>
              </w:rPr>
              <w:t>整层透明大水珠</w:t>
            </w:r>
            <w:r>
              <w:rPr>
                <w:rFonts w:ascii="楷体" w:hAnsi="楷体" w:eastAsia="楷体" w:cs="Cordia New"/>
              </w:rPr>
              <w:t xml:space="preserve"> </w:t>
            </w:r>
          </w:p>
        </w:tc>
        <w:tc>
          <w:tcPr>
            <w:tcW w:w="1687" w:type="dxa"/>
            <w:tcBorders>
              <w:top w:val="nil"/>
              <w:left w:val="single" w:color="auto" w:sz="4" w:space="0"/>
              <w:bottom w:val="single" w:color="auto" w:sz="4" w:space="0"/>
              <w:right w:val="single" w:color="auto" w:sz="4" w:space="0"/>
            </w:tcBorders>
            <w:noWrap w:val="0"/>
            <w:vAlign w:val="center"/>
          </w:tcPr>
          <w:p>
            <w:pPr>
              <w:jc w:val="center"/>
              <w:rPr>
                <w:rFonts w:ascii="楷体" w:hAnsi="楷体" w:eastAsia="楷体" w:cs="Cordia New"/>
              </w:rPr>
            </w:pPr>
            <w:r>
              <w:rPr>
                <w:rFonts w:ascii="楷体" w:hAnsi="楷体" w:eastAsia="楷体" w:cs="Cordia New"/>
              </w:rPr>
              <w:t>B/C</w:t>
            </w:r>
          </w:p>
        </w:tc>
        <w:tc>
          <w:tcPr>
            <w:tcW w:w="906" w:type="dxa"/>
            <w:tcBorders>
              <w:top w:val="nil"/>
              <w:left w:val="nil"/>
              <w:bottom w:val="single" w:color="auto" w:sz="4" w:space="0"/>
              <w:right w:val="single" w:color="auto" w:sz="4" w:space="0"/>
            </w:tcBorders>
            <w:noWrap w:val="0"/>
            <w:vAlign w:val="center"/>
          </w:tcPr>
          <w:p>
            <w:pPr>
              <w:jc w:val="center"/>
              <w:rPr>
                <w:rFonts w:ascii="楷体" w:hAnsi="楷体" w:eastAsia="楷体" w:cs="Cordia New"/>
              </w:rPr>
            </w:pPr>
            <w:r>
              <w:rPr>
                <w:rFonts w:ascii="楷体" w:hAnsi="楷体" w:eastAsia="楷体" w:cs="Cordia New"/>
              </w:rPr>
              <w:t>4</w:t>
            </w:r>
          </w:p>
        </w:tc>
      </w:tr>
      <w:tr>
        <w:tblPrEx>
          <w:tblCellMar>
            <w:top w:w="0" w:type="dxa"/>
            <w:left w:w="108" w:type="dxa"/>
            <w:bottom w:w="0" w:type="dxa"/>
            <w:right w:w="108" w:type="dxa"/>
          </w:tblCellMar>
        </w:tblPrEx>
        <w:trPr>
          <w:trHeight w:val="445" w:hRule="atLeast"/>
          <w:jc w:val="center"/>
        </w:trPr>
        <w:tc>
          <w:tcPr>
            <w:tcW w:w="5394" w:type="dxa"/>
            <w:tcBorders>
              <w:top w:val="nil"/>
              <w:left w:val="single" w:color="auto" w:sz="4" w:space="0"/>
              <w:bottom w:val="single" w:color="auto" w:sz="4" w:space="0"/>
              <w:right w:val="nil"/>
            </w:tcBorders>
            <w:noWrap w:val="0"/>
            <w:vAlign w:val="center"/>
          </w:tcPr>
          <w:p>
            <w:pPr>
              <w:rPr>
                <w:rFonts w:ascii="楷体" w:hAnsi="楷体" w:eastAsia="楷体" w:cs="Cordia New"/>
              </w:rPr>
            </w:pPr>
          </w:p>
        </w:tc>
        <w:tc>
          <w:tcPr>
            <w:tcW w:w="1687" w:type="dxa"/>
            <w:tcBorders>
              <w:top w:val="nil"/>
              <w:left w:val="single" w:color="auto" w:sz="4" w:space="0"/>
              <w:bottom w:val="single" w:color="auto" w:sz="4" w:space="0"/>
              <w:right w:val="single" w:color="auto" w:sz="4" w:space="0"/>
            </w:tcBorders>
            <w:noWrap w:val="0"/>
            <w:vAlign w:val="center"/>
          </w:tcPr>
          <w:p>
            <w:pPr>
              <w:jc w:val="center"/>
              <w:rPr>
                <w:rFonts w:ascii="楷体" w:hAnsi="楷体" w:eastAsia="楷体" w:cs="Cordia New"/>
              </w:rPr>
            </w:pPr>
            <w:r>
              <w:rPr>
                <w:rFonts w:ascii="楷体" w:hAnsi="楷体" w:eastAsia="楷体" w:cs="Cordia New"/>
              </w:rPr>
              <w:t>C</w:t>
            </w:r>
          </w:p>
        </w:tc>
        <w:tc>
          <w:tcPr>
            <w:tcW w:w="906" w:type="dxa"/>
            <w:tcBorders>
              <w:top w:val="nil"/>
              <w:left w:val="nil"/>
              <w:bottom w:val="single" w:color="auto" w:sz="4" w:space="0"/>
              <w:right w:val="single" w:color="auto" w:sz="4" w:space="0"/>
            </w:tcBorders>
            <w:noWrap w:val="0"/>
            <w:vAlign w:val="center"/>
          </w:tcPr>
          <w:p>
            <w:pPr>
              <w:jc w:val="center"/>
              <w:rPr>
                <w:rFonts w:ascii="楷体" w:hAnsi="楷体" w:eastAsia="楷体" w:cs="Cordia New"/>
              </w:rPr>
            </w:pPr>
            <w:r>
              <w:rPr>
                <w:rFonts w:ascii="楷体" w:hAnsi="楷体" w:eastAsia="楷体" w:cs="Cordia New"/>
              </w:rPr>
              <w:t>5</w:t>
            </w:r>
          </w:p>
        </w:tc>
      </w:tr>
      <w:tr>
        <w:tblPrEx>
          <w:tblCellMar>
            <w:top w:w="0" w:type="dxa"/>
            <w:left w:w="108" w:type="dxa"/>
            <w:bottom w:w="0" w:type="dxa"/>
            <w:right w:w="108" w:type="dxa"/>
          </w:tblCellMar>
        </w:tblPrEx>
        <w:trPr>
          <w:trHeight w:val="445" w:hRule="atLeast"/>
          <w:jc w:val="center"/>
        </w:trPr>
        <w:tc>
          <w:tcPr>
            <w:tcW w:w="5394" w:type="dxa"/>
            <w:tcBorders>
              <w:top w:val="nil"/>
              <w:left w:val="single" w:color="auto" w:sz="4" w:space="0"/>
              <w:bottom w:val="nil"/>
              <w:right w:val="nil"/>
            </w:tcBorders>
            <w:noWrap w:val="0"/>
            <w:vAlign w:val="center"/>
          </w:tcPr>
          <w:p>
            <w:pPr>
              <w:rPr>
                <w:rFonts w:hint="eastAsia" w:ascii="楷体" w:hAnsi="楷体" w:eastAsia="楷体" w:cs="Cordia New"/>
              </w:rPr>
            </w:pPr>
            <w:r>
              <w:rPr>
                <w:rFonts w:hint="eastAsia" w:ascii="楷体" w:hAnsi="楷体" w:eastAsia="楷体" w:cs="Cordia New"/>
              </w:rPr>
              <w:t>随机分布或透明大水珠</w:t>
            </w:r>
          </w:p>
        </w:tc>
        <w:tc>
          <w:tcPr>
            <w:tcW w:w="1687" w:type="dxa"/>
            <w:tcBorders>
              <w:top w:val="nil"/>
              <w:left w:val="single" w:color="auto" w:sz="4" w:space="0"/>
              <w:bottom w:val="single" w:color="auto" w:sz="4" w:space="0"/>
              <w:right w:val="single" w:color="auto" w:sz="4" w:space="0"/>
            </w:tcBorders>
            <w:noWrap w:val="0"/>
            <w:vAlign w:val="center"/>
          </w:tcPr>
          <w:p>
            <w:pPr>
              <w:jc w:val="center"/>
              <w:rPr>
                <w:rFonts w:ascii="楷体" w:hAnsi="楷体" w:eastAsia="楷体" w:cs="Cordia New"/>
              </w:rPr>
            </w:pPr>
            <w:r>
              <w:rPr>
                <w:rFonts w:ascii="楷体" w:hAnsi="楷体" w:eastAsia="楷体" w:cs="Cordia New"/>
              </w:rPr>
              <w:t>C/D</w:t>
            </w:r>
          </w:p>
        </w:tc>
        <w:tc>
          <w:tcPr>
            <w:tcW w:w="906" w:type="dxa"/>
            <w:tcBorders>
              <w:top w:val="nil"/>
              <w:left w:val="nil"/>
              <w:bottom w:val="single" w:color="auto" w:sz="4" w:space="0"/>
              <w:right w:val="single" w:color="auto" w:sz="4" w:space="0"/>
            </w:tcBorders>
            <w:noWrap w:val="0"/>
            <w:vAlign w:val="center"/>
          </w:tcPr>
          <w:p>
            <w:pPr>
              <w:jc w:val="center"/>
              <w:rPr>
                <w:rFonts w:ascii="楷体" w:hAnsi="楷体" w:eastAsia="楷体" w:cs="Cordia New"/>
              </w:rPr>
            </w:pPr>
            <w:r>
              <w:rPr>
                <w:rFonts w:ascii="楷体" w:hAnsi="楷体" w:eastAsia="楷体" w:cs="Cordia New"/>
              </w:rPr>
              <w:t>6</w:t>
            </w:r>
          </w:p>
        </w:tc>
      </w:tr>
      <w:tr>
        <w:tblPrEx>
          <w:tblCellMar>
            <w:top w:w="0" w:type="dxa"/>
            <w:left w:w="108" w:type="dxa"/>
            <w:bottom w:w="0" w:type="dxa"/>
            <w:right w:w="108" w:type="dxa"/>
          </w:tblCellMar>
        </w:tblPrEx>
        <w:trPr>
          <w:trHeight w:val="445" w:hRule="atLeast"/>
          <w:jc w:val="center"/>
        </w:trPr>
        <w:tc>
          <w:tcPr>
            <w:tcW w:w="5394" w:type="dxa"/>
            <w:tcBorders>
              <w:top w:val="nil"/>
              <w:left w:val="single" w:color="auto" w:sz="4" w:space="0"/>
              <w:bottom w:val="single" w:color="auto" w:sz="4" w:space="0"/>
              <w:right w:val="nil"/>
            </w:tcBorders>
            <w:noWrap w:val="0"/>
            <w:vAlign w:val="center"/>
          </w:tcPr>
          <w:p>
            <w:pPr>
              <w:rPr>
                <w:rFonts w:ascii="楷体" w:hAnsi="楷体" w:eastAsia="楷体" w:cs="Cordia New"/>
              </w:rPr>
            </w:pPr>
            <w:r>
              <w:rPr>
                <w:rFonts w:hint="eastAsia" w:ascii="楷体" w:hAnsi="楷体" w:eastAsia="楷体" w:cs="Cordia New"/>
                <w:b/>
                <w:bCs/>
              </w:rPr>
              <w:t>*处于等级</w:t>
            </w:r>
            <w:r>
              <w:rPr>
                <w:rFonts w:ascii="楷体" w:hAnsi="楷体" w:eastAsia="楷体" w:cs="Cordia New"/>
                <w:b/>
                <w:bCs/>
                <w:lang w:val="de-DE"/>
              </w:rPr>
              <w:t>D</w:t>
            </w:r>
            <w:r>
              <w:rPr>
                <w:rFonts w:hint="eastAsia" w:ascii="楷体" w:hAnsi="楷体" w:eastAsia="楷体" w:cs="Cordia New"/>
                <w:b/>
                <w:bCs/>
              </w:rPr>
              <w:t>的薄膜就可视为具有普通应用效果的防雾性能</w:t>
            </w:r>
          </w:p>
        </w:tc>
        <w:tc>
          <w:tcPr>
            <w:tcW w:w="1687" w:type="dxa"/>
            <w:tcBorders>
              <w:top w:val="nil"/>
              <w:left w:val="single" w:color="auto" w:sz="4" w:space="0"/>
              <w:bottom w:val="single" w:color="auto" w:sz="4" w:space="0"/>
              <w:right w:val="single" w:color="auto" w:sz="4" w:space="0"/>
            </w:tcBorders>
            <w:noWrap w:val="0"/>
            <w:vAlign w:val="center"/>
          </w:tcPr>
          <w:p>
            <w:pPr>
              <w:jc w:val="center"/>
              <w:rPr>
                <w:rFonts w:ascii="楷体" w:hAnsi="楷体" w:eastAsia="楷体" w:cs="Cordia New"/>
              </w:rPr>
            </w:pPr>
            <w:r>
              <w:rPr>
                <w:rFonts w:ascii="楷体" w:hAnsi="楷体" w:eastAsia="楷体" w:cs="Cordia New"/>
              </w:rPr>
              <w:t>D</w:t>
            </w:r>
          </w:p>
        </w:tc>
        <w:tc>
          <w:tcPr>
            <w:tcW w:w="906" w:type="dxa"/>
            <w:tcBorders>
              <w:top w:val="nil"/>
              <w:left w:val="nil"/>
              <w:bottom w:val="single" w:color="auto" w:sz="4" w:space="0"/>
              <w:right w:val="single" w:color="auto" w:sz="4" w:space="0"/>
            </w:tcBorders>
            <w:noWrap w:val="0"/>
            <w:vAlign w:val="center"/>
          </w:tcPr>
          <w:p>
            <w:pPr>
              <w:jc w:val="center"/>
              <w:rPr>
                <w:rFonts w:ascii="楷体" w:hAnsi="楷体" w:eastAsia="楷体" w:cs="Cordia New"/>
              </w:rPr>
            </w:pPr>
            <w:r>
              <w:rPr>
                <w:rFonts w:ascii="楷体" w:hAnsi="楷体" w:eastAsia="楷体" w:cs="Cordia New"/>
              </w:rPr>
              <w:t>7</w:t>
            </w:r>
          </w:p>
        </w:tc>
      </w:tr>
      <w:tr>
        <w:tblPrEx>
          <w:tblCellMar>
            <w:top w:w="0" w:type="dxa"/>
            <w:left w:w="108" w:type="dxa"/>
            <w:bottom w:w="0" w:type="dxa"/>
            <w:right w:w="108" w:type="dxa"/>
          </w:tblCellMar>
        </w:tblPrEx>
        <w:trPr>
          <w:trHeight w:val="445" w:hRule="atLeast"/>
          <w:jc w:val="center"/>
        </w:trPr>
        <w:tc>
          <w:tcPr>
            <w:tcW w:w="5394" w:type="dxa"/>
            <w:tcBorders>
              <w:top w:val="nil"/>
              <w:left w:val="single" w:color="auto" w:sz="4" w:space="0"/>
              <w:bottom w:val="nil"/>
              <w:right w:val="nil"/>
            </w:tcBorders>
            <w:noWrap w:val="0"/>
            <w:vAlign w:val="center"/>
          </w:tcPr>
          <w:p>
            <w:pPr>
              <w:rPr>
                <w:rFonts w:hint="eastAsia" w:ascii="楷体" w:hAnsi="楷体" w:eastAsia="楷体" w:cs="Cordia New"/>
              </w:rPr>
            </w:pPr>
            <w:r>
              <w:rPr>
                <w:rFonts w:hint="eastAsia" w:ascii="楷体" w:hAnsi="楷体" w:eastAsia="楷体" w:cs="Cordia New"/>
              </w:rPr>
              <w:t>透明薄膜未看到有水份存在</w:t>
            </w:r>
          </w:p>
        </w:tc>
        <w:tc>
          <w:tcPr>
            <w:tcW w:w="1687" w:type="dxa"/>
            <w:tcBorders>
              <w:top w:val="nil"/>
              <w:left w:val="single" w:color="auto" w:sz="4" w:space="0"/>
              <w:bottom w:val="single" w:color="auto" w:sz="4" w:space="0"/>
              <w:right w:val="single" w:color="auto" w:sz="4" w:space="0"/>
            </w:tcBorders>
            <w:noWrap w:val="0"/>
            <w:vAlign w:val="center"/>
          </w:tcPr>
          <w:p>
            <w:pPr>
              <w:jc w:val="center"/>
              <w:rPr>
                <w:rFonts w:ascii="楷体" w:hAnsi="楷体" w:eastAsia="楷体" w:cs="Cordia New"/>
              </w:rPr>
            </w:pPr>
            <w:r>
              <w:rPr>
                <w:rFonts w:ascii="楷体" w:hAnsi="楷体" w:eastAsia="楷体" w:cs="Cordia New"/>
              </w:rPr>
              <w:t>D/E</w:t>
            </w:r>
          </w:p>
        </w:tc>
        <w:tc>
          <w:tcPr>
            <w:tcW w:w="906" w:type="dxa"/>
            <w:tcBorders>
              <w:top w:val="nil"/>
              <w:left w:val="nil"/>
              <w:bottom w:val="single" w:color="auto" w:sz="4" w:space="0"/>
              <w:right w:val="single" w:color="auto" w:sz="4" w:space="0"/>
            </w:tcBorders>
            <w:noWrap w:val="0"/>
            <w:vAlign w:val="center"/>
          </w:tcPr>
          <w:p>
            <w:pPr>
              <w:jc w:val="center"/>
              <w:rPr>
                <w:rFonts w:ascii="楷体" w:hAnsi="楷体" w:eastAsia="楷体" w:cs="Cordia New"/>
              </w:rPr>
            </w:pPr>
            <w:r>
              <w:rPr>
                <w:rFonts w:ascii="楷体" w:hAnsi="楷体" w:eastAsia="楷体" w:cs="Cordia New"/>
              </w:rPr>
              <w:t>8</w:t>
            </w:r>
          </w:p>
        </w:tc>
      </w:tr>
      <w:tr>
        <w:tblPrEx>
          <w:tblCellMar>
            <w:top w:w="0" w:type="dxa"/>
            <w:left w:w="108" w:type="dxa"/>
            <w:bottom w:w="0" w:type="dxa"/>
            <w:right w:w="108" w:type="dxa"/>
          </w:tblCellMar>
        </w:tblPrEx>
        <w:trPr>
          <w:trHeight w:val="445" w:hRule="atLeast"/>
          <w:jc w:val="center"/>
        </w:trPr>
        <w:tc>
          <w:tcPr>
            <w:tcW w:w="5394" w:type="dxa"/>
            <w:tcBorders>
              <w:top w:val="nil"/>
              <w:left w:val="single" w:color="auto" w:sz="4" w:space="0"/>
              <w:bottom w:val="single" w:color="auto" w:sz="4" w:space="0"/>
              <w:right w:val="nil"/>
            </w:tcBorders>
            <w:noWrap w:val="0"/>
            <w:vAlign w:val="center"/>
          </w:tcPr>
          <w:p>
            <w:pPr>
              <w:rPr>
                <w:rFonts w:ascii="楷体" w:hAnsi="楷体" w:eastAsia="楷体" w:cs="Cordia New"/>
              </w:rPr>
            </w:pPr>
          </w:p>
        </w:tc>
        <w:tc>
          <w:tcPr>
            <w:tcW w:w="1687" w:type="dxa"/>
            <w:tcBorders>
              <w:top w:val="nil"/>
              <w:left w:val="single" w:color="auto" w:sz="4" w:space="0"/>
              <w:bottom w:val="single" w:color="auto" w:sz="4" w:space="0"/>
              <w:right w:val="single" w:color="auto" w:sz="4" w:space="0"/>
            </w:tcBorders>
            <w:noWrap w:val="0"/>
            <w:vAlign w:val="center"/>
          </w:tcPr>
          <w:p>
            <w:pPr>
              <w:jc w:val="center"/>
              <w:rPr>
                <w:rFonts w:ascii="楷体" w:hAnsi="楷体" w:eastAsia="楷体" w:cs="Cordia New"/>
              </w:rPr>
            </w:pPr>
            <w:r>
              <w:rPr>
                <w:rFonts w:ascii="楷体" w:hAnsi="楷体" w:eastAsia="楷体" w:cs="Cordia New"/>
              </w:rPr>
              <w:t>E</w:t>
            </w:r>
          </w:p>
        </w:tc>
        <w:tc>
          <w:tcPr>
            <w:tcW w:w="906" w:type="dxa"/>
            <w:tcBorders>
              <w:top w:val="nil"/>
              <w:left w:val="nil"/>
              <w:bottom w:val="single" w:color="auto" w:sz="4" w:space="0"/>
              <w:right w:val="single" w:color="auto" w:sz="4" w:space="0"/>
            </w:tcBorders>
            <w:noWrap w:val="0"/>
            <w:vAlign w:val="center"/>
          </w:tcPr>
          <w:p>
            <w:pPr>
              <w:jc w:val="center"/>
              <w:rPr>
                <w:rFonts w:ascii="楷体" w:hAnsi="楷体" w:eastAsia="楷体" w:cs="Cordia New"/>
              </w:rPr>
            </w:pPr>
            <w:r>
              <w:rPr>
                <w:rFonts w:ascii="楷体" w:hAnsi="楷体" w:eastAsia="楷体" w:cs="Cordia New"/>
              </w:rPr>
              <w:t>9</w:t>
            </w:r>
          </w:p>
        </w:tc>
      </w:tr>
    </w:tbl>
    <w:p>
      <w:pPr>
        <w:tabs>
          <w:tab w:val="left" w:pos="-720"/>
        </w:tabs>
        <w:suppressAutoHyphens/>
        <w:jc w:val="both"/>
        <w:rPr>
          <w:rFonts w:hint="eastAsia"/>
          <w:spacing w:val="-2"/>
        </w:rPr>
      </w:pPr>
    </w:p>
    <w:p>
      <w:pPr>
        <w:pStyle w:val="6"/>
        <w:rPr>
          <w:rFonts w:hint="eastAsia" w:ascii="黑体" w:hAnsi="黑体" w:eastAsia="黑体"/>
          <w:sz w:val="18"/>
          <w:szCs w:val="18"/>
          <w:lang w:eastAsia="zh-CN"/>
        </w:rPr>
      </w:pPr>
      <w:r>
        <w:rPr>
          <w:rFonts w:hint="eastAsia" w:ascii="黑体" w:hAnsi="黑体" w:eastAsia="黑体"/>
          <w:sz w:val="18"/>
          <w:szCs w:val="18"/>
          <w:lang w:eastAsia="zh-CN"/>
        </w:rPr>
        <w:t>免职声明：上述所提供的资料中包含的信息和建议是基于我们收集和认为是正确的数据。但是，在此的信息没有作表述或暗示的适宜用途的担保或任何其它保证或担保，同时我们对在此描述的产品的使用和加工的结果不承担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w:altName w:val="Courier New"/>
    <w:panose1 w:val="02070409020205020404"/>
    <w:charset w:val="00"/>
    <w:family w:val="modern"/>
    <w:pitch w:val="default"/>
    <w:sig w:usb0="00000000" w:usb1="00000000" w:usb2="00000000" w:usb3="00000000" w:csb0="00000001" w:csb1="00000000"/>
  </w:font>
  <w:font w:name="Angsana New">
    <w:altName w:val="Microsoft Sans Serif"/>
    <w:panose1 w:val="02020603050405020304"/>
    <w:charset w:val="DE"/>
    <w:family w:val="roman"/>
    <w:pitch w:val="default"/>
    <w:sig w:usb0="00000000" w:usb1="00000000" w:usb2="00000000" w:usb3="00000000" w:csb0="00010000" w:csb1="00000000"/>
  </w:font>
  <w:font w:name="楷体">
    <w:panose1 w:val="02010609060101010101"/>
    <w:charset w:val="86"/>
    <w:family w:val="modern"/>
    <w:pitch w:val="default"/>
    <w:sig w:usb0="800002BF" w:usb1="38CF7CFA" w:usb2="00000016" w:usb3="00000000" w:csb0="00040001" w:csb1="00000000"/>
  </w:font>
  <w:font w:name="Impact">
    <w:panose1 w:val="020B0806030902050204"/>
    <w:charset w:val="00"/>
    <w:family w:val="swiss"/>
    <w:pitch w:val="default"/>
    <w:sig w:usb0="00000287" w:usb1="00000000" w:usb2="00000000" w:usb3="00000000" w:csb0="2000009F" w:csb1="DFD70000"/>
  </w:font>
  <w:font w:name="Gill Sans Condensed">
    <w:altName w:val="Segoe Print"/>
    <w:panose1 w:val="02010606040404020203"/>
    <w:charset w:val="00"/>
    <w:family w:val="auto"/>
    <w:pitch w:val="default"/>
    <w:sig w:usb0="00000000" w:usb1="00000000" w:usb2="00000000" w:usb3="00000000" w:csb0="00000001" w:csb1="00000000"/>
  </w:font>
  <w:font w:name="Cordia New">
    <w:altName w:val="Microsoft Sans Serif"/>
    <w:panose1 w:val="020B0304020202020204"/>
    <w:charset w:val="DE"/>
    <w:family w:val="roman"/>
    <w:pitch w:val="default"/>
    <w:sig w:usb0="00000000" w:usb1="00000000" w:usb2="00000000" w:usb3="00000000" w:csb0="00010000" w:csb1="00000000"/>
  </w:font>
  <w:font w:name="Abadi MT Condensed">
    <w:altName w:val="MV Boli"/>
    <w:panose1 w:val="020B0506030101010103"/>
    <w:charset w:val="00"/>
    <w:family w:val="swiss"/>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MV Boli">
    <w:panose1 w:val="02000500030200090000"/>
    <w:charset w:val="00"/>
    <w:family w:val="auto"/>
    <w:pitch w:val="default"/>
    <w:sig w:usb0="00000003" w:usb1="00000000" w:usb2="00000100" w:usb3="00000000" w:csb0="00000001" w:csb1="00000000"/>
  </w:font>
  <w:font w:name="Microsoft Sans Serif">
    <w:panose1 w:val="020B0604020202020204"/>
    <w:charset w:val="00"/>
    <w:family w:val="auto"/>
    <w:pitch w:val="default"/>
    <w:sig w:usb0="E5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E1370"/>
    <w:rsid w:val="143E1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ourier" w:hAnsi="Courier" w:eastAsia="宋体" w:cs="Times New Roman"/>
      <w:lang w:val="en-US" w:eastAsia="zh-CN" w:bidi="ar-SA"/>
    </w:rPr>
  </w:style>
  <w:style w:type="paragraph" w:styleId="2">
    <w:name w:val="heading 1"/>
    <w:basedOn w:val="1"/>
    <w:next w:val="1"/>
    <w:qFormat/>
    <w:uiPriority w:val="0"/>
    <w:pPr>
      <w:keepNext/>
      <w:suppressAutoHyphens/>
      <w:jc w:val="both"/>
      <w:outlineLvl w:val="0"/>
    </w:pPr>
    <w:rPr>
      <w:rFonts w:ascii="Times New Roman" w:hAnsi="Times New Roman"/>
      <w:b/>
      <w:spacing w:val="-2"/>
      <w:sz w:val="24"/>
      <w:u w:val="single"/>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bCs/>
    </w:rPr>
  </w:style>
  <w:style w:type="paragraph" w:customStyle="1" w:styleId="6">
    <w:name w:val="Q"/>
    <w:uiPriority w:val="0"/>
    <w:rPr>
      <w:rFonts w:ascii="Courier" w:hAnsi="Courier" w:eastAsia="宋体" w:cs="Angsana New"/>
      <w:sz w:val="24"/>
      <w:lang w:val="en-US" w:eastAsia="en-US" w:bidi="th-T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2020-08-29T09:48:00Z</dcterms:created>
  <dc:creator>风歌</dc:creator>
  <cp:lastModifiedBy>风歌</cp:lastModifiedBy>
  <dcterms:modified xsi:type="dcterms:W3CDTF">2020-08-29T09:48:41Z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