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both"/>
        <w:rPr>
          <w:rFonts w:hint="eastAsia" w:ascii="楷体" w:hAnsi="Times New Roman" w:eastAsia="楷体"/>
          <w:spacing w:val="-2"/>
          <w:sz w:val="22"/>
          <w:szCs w:val="22"/>
        </w:rPr>
      </w:pPr>
      <w:r>
        <w:rPr>
          <w:b/>
          <w:spacing w:val="-2"/>
          <w:sz w:val="24"/>
          <w:u w:val="single"/>
        </w:rPr>
        <mc:AlternateContent>
          <mc:Choice Requires="wps">
            <w:drawing>
              <wp:anchor distT="0" distB="0" distL="114300" distR="114300" simplePos="0" relativeHeight="251676672" behindDoc="0" locked="0" layoutInCell="1" allowOverlap="1">
                <wp:simplePos x="0" y="0"/>
                <wp:positionH relativeFrom="column">
                  <wp:posOffset>485775</wp:posOffset>
                </wp:positionH>
                <wp:positionV relativeFrom="paragraph">
                  <wp:posOffset>77470</wp:posOffset>
                </wp:positionV>
                <wp:extent cx="4389120" cy="822960"/>
                <wp:effectExtent l="4445" t="4445" r="13335" b="10795"/>
                <wp:wrapNone/>
                <wp:docPr id="1" name="矩形 1"/>
                <wp:cNvGraphicFramePr/>
                <a:graphic xmlns:a="http://schemas.openxmlformats.org/drawingml/2006/main">
                  <a:graphicData uri="http://schemas.microsoft.com/office/word/2010/wordprocessingShape">
                    <wps:wsp>
                      <wps:cNvSpPr/>
                      <wps:spPr>
                        <a:xfrm>
                          <a:off x="0" y="0"/>
                          <a:ext cx="4389120" cy="822960"/>
                        </a:xfrm>
                        <a:prstGeom prst="rect">
                          <a:avLst/>
                        </a:prstGeom>
                        <a:solidFill>
                          <a:srgbClr val="FFFFFF"/>
                        </a:solidFill>
                        <a:ln w="9525" cap="flat" cmpd="sng">
                          <a:solidFill>
                            <a:srgbClr val="4F1C6C"/>
                          </a:solidFill>
                          <a:prstDash val="solid"/>
                          <a:miter/>
                          <a:headEnd type="none" w="med" len="med"/>
                          <a:tailEnd type="none" w="med" len="med"/>
                        </a:ln>
                      </wps:spPr>
                      <wps:txbx>
                        <w:txbxContent>
                          <w:p>
                            <w:pPr>
                              <w:jc w:val="center"/>
                              <w:rPr>
                                <w:rFonts w:hint="eastAsia" w:ascii="Impact" w:hAnsi="Impact"/>
                                <w:b/>
                                <w:color w:val="4F1C6C"/>
                                <w:sz w:val="44"/>
                              </w:rPr>
                            </w:pPr>
                            <w:r>
                              <w:rPr>
                                <w:rFonts w:hint="eastAsia" w:ascii="Impact" w:hAnsi="Impact"/>
                                <w:b/>
                                <w:color w:val="4F1C6C"/>
                                <w:sz w:val="44"/>
                              </w:rPr>
                              <w:t xml:space="preserve"> PEKY1000</w:t>
                            </w:r>
                          </w:p>
                          <w:p>
                            <w:pPr>
                              <w:jc w:val="center"/>
                              <w:rPr>
                                <w:rFonts w:hint="eastAsia" w:ascii="Impact" w:hAnsi="Impact" w:eastAsia="楷体"/>
                                <w:b/>
                                <w:color w:val="4F1C6C"/>
                                <w:sz w:val="36"/>
                              </w:rPr>
                            </w:pPr>
                            <w:r>
                              <w:rPr>
                                <w:rFonts w:hint="eastAsia" w:ascii="Impact" w:hAnsi="Impact" w:eastAsia="楷体"/>
                                <w:b/>
                                <w:color w:val="4F1C6C"/>
                                <w:sz w:val="36"/>
                              </w:rPr>
                              <w:t>多功能高效长效抗氧母粒</w:t>
                            </w:r>
                          </w:p>
                        </w:txbxContent>
                      </wps:txbx>
                      <wps:bodyPr upright="1"/>
                    </wps:wsp>
                  </a:graphicData>
                </a:graphic>
              </wp:anchor>
            </w:drawing>
          </mc:Choice>
          <mc:Fallback>
            <w:pict>
              <v:rect id="_x0000_s1026" o:spid="_x0000_s1026" o:spt="1" style="position:absolute;left:0pt;margin-left:38.25pt;margin-top:6.1pt;height:64.8pt;width:345.6pt;z-index:251676672;mso-width-relative:page;mso-height-relative:page;" fillcolor="#FFFFFF" filled="t" stroked="t" coordsize="21600,21600" o:gfxdata="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XIj61wAAAAkBAAAPAAAAAAAAAAEAIAAAACIAAABkcnMvZG93bnJldi54bWxQSwECFAAUAAAACACH&#10;TuJAYQqYYuwBAADbAwAADgAAAAAAAAABACAAAAAmAQAAZHJzL2Uyb0RvYy54bWxQSwUGAAAAAAYA&#10;BgBZAQAAhAUAAAAA&#10;">
                <v:fill on="t" focussize="0,0"/>
                <v:stroke color="#4F1C6C" joinstyle="miter"/>
                <v:imagedata o:title=""/>
                <o:lock v:ext="edit" aspectratio="f"/>
                <v:textbox>
                  <w:txbxContent>
                    <w:p>
                      <w:pPr>
                        <w:jc w:val="center"/>
                        <w:rPr>
                          <w:rFonts w:hint="eastAsia" w:ascii="Impact" w:hAnsi="Impact"/>
                          <w:b/>
                          <w:color w:val="4F1C6C"/>
                          <w:sz w:val="44"/>
                        </w:rPr>
                      </w:pPr>
                      <w:r>
                        <w:rPr>
                          <w:rFonts w:hint="eastAsia" w:ascii="Impact" w:hAnsi="Impact"/>
                          <w:b/>
                          <w:color w:val="4F1C6C"/>
                          <w:sz w:val="44"/>
                        </w:rPr>
                        <w:t xml:space="preserve"> PEKY1000</w:t>
                      </w:r>
                    </w:p>
                    <w:p>
                      <w:pPr>
                        <w:jc w:val="center"/>
                        <w:rPr>
                          <w:rFonts w:hint="eastAsia" w:ascii="Impact" w:hAnsi="Impact" w:eastAsia="楷体"/>
                          <w:b/>
                          <w:color w:val="4F1C6C"/>
                          <w:sz w:val="36"/>
                        </w:rPr>
                      </w:pPr>
                      <w:r>
                        <w:rPr>
                          <w:rFonts w:hint="eastAsia" w:ascii="Impact" w:hAnsi="Impact" w:eastAsia="楷体"/>
                          <w:b/>
                          <w:color w:val="4F1C6C"/>
                          <w:sz w:val="36"/>
                        </w:rPr>
                        <w:t>多功能高效长效抗氧母粒</w:t>
                      </w:r>
                    </w:p>
                  </w:txbxContent>
                </v:textbox>
              </v:rect>
            </w:pict>
          </mc:Fallback>
        </mc:AlternateContent>
      </w:r>
    </w:p>
    <w:p>
      <w:pPr>
        <w:suppressAutoHyphens/>
        <w:jc w:val="both"/>
        <w:rPr>
          <w:rFonts w:hint="eastAsia" w:ascii="楷体" w:hAnsi="Times New Roman" w:eastAsia="楷体"/>
          <w:spacing w:val="-2"/>
          <w:sz w:val="22"/>
          <w:szCs w:val="22"/>
        </w:rPr>
      </w:pPr>
    </w:p>
    <w:p>
      <w:pPr>
        <w:suppressAutoHyphens/>
        <w:jc w:val="both"/>
        <w:rPr>
          <w:b/>
          <w:spacing w:val="-2"/>
          <w:sz w:val="24"/>
          <w:u w:val="single"/>
        </w:rPr>
      </w:pPr>
    </w:p>
    <w:p>
      <w:pPr>
        <w:tabs>
          <w:tab w:val="left" w:pos="2400"/>
        </w:tabs>
        <w:suppressAutoHyphens/>
        <w:jc w:val="both"/>
        <w:rPr>
          <w:rFonts w:ascii="Gill Sans Condensed" w:hAnsi="Gill Sans Condensed"/>
          <w:color w:val="0000FF"/>
          <w:spacing w:val="-2"/>
          <w:sz w:val="32"/>
        </w:rPr>
      </w:pPr>
      <w:r>
        <w:rPr>
          <w:rFonts w:hint="eastAsia"/>
          <w:b/>
          <w:i/>
          <w:iCs/>
          <w:spacing w:val="-2"/>
          <w:sz w:val="24"/>
        </w:rPr>
        <w:tab/>
      </w:r>
    </w:p>
    <w:p>
      <w:pPr>
        <w:pBdr>
          <w:top w:val="thinThickSmallGap" w:color="0000FF" w:sz="24" w:space="1"/>
        </w:pBdr>
        <w:suppressAutoHyphens/>
        <w:jc w:val="right"/>
        <w:outlineLvl w:val="0"/>
        <w:rPr>
          <w:rFonts w:ascii="Gill Sans Condensed" w:hAnsi="Gill Sans Condensed"/>
          <w:color w:val="0000FF"/>
          <w:spacing w:val="-2"/>
        </w:rPr>
      </w:pPr>
      <w:r>
        <w:rPr>
          <w:rFonts w:hint="eastAsia" w:eastAsia="楷体"/>
          <w:i/>
        </w:rPr>
        <w:t>产 品 说 明 书</w:t>
      </w:r>
    </w:p>
    <w:p>
      <w:pPr>
        <w:pStyle w:val="2"/>
        <w:rPr>
          <w:rFonts w:hint="eastAsia" w:ascii="楷体" w:eastAsia="楷体"/>
        </w:rPr>
      </w:pPr>
      <w:r>
        <w:rPr>
          <w:rFonts w:hint="eastAsia" w:ascii="楷体" w:eastAsia="楷体"/>
          <w:szCs w:val="24"/>
          <w:u w:val="none"/>
        </w:rPr>
        <w:t>性能</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可用于防止各类氧化问题而引起的胶袋变黄问题，同时亦可有效地防止薄膜加工工艺（包括吹膜及挤出）过程中微小氧化晶点的产生，以进一步提高胶袋表面的平滑度，进一步提高胶袋表面的亮度有助于提高吹膜或挤出时的熔体粘度稳定性，使吹膜时泡体稳定，或提高挤出薄膜的厚度稳定性</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HM13-09702对聚合物分子有完善的保护作用，能使PE或PP经多次再生而保持良好的机械性能。</w:t>
      </w:r>
    </w:p>
    <w:p>
      <w:pPr>
        <w:suppressAutoHyphens/>
        <w:jc w:val="both"/>
        <w:rPr>
          <w:rFonts w:hint="eastAsia" w:ascii="楷体" w:hAnsi="Times New Roman" w:eastAsia="楷体"/>
          <w:bCs/>
          <w:spacing w:val="-2"/>
          <w:sz w:val="24"/>
          <w:szCs w:val="24"/>
        </w:rPr>
      </w:pPr>
      <w:r>
        <w:rPr>
          <w:rFonts w:hint="eastAsia" w:ascii="楷体" w:hAnsi="Times New Roman" w:eastAsia="楷体"/>
          <w:b/>
          <w:spacing w:val="-2"/>
          <w:sz w:val="24"/>
          <w:szCs w:val="24"/>
        </w:rPr>
        <w:t>其他特点</w:t>
      </w:r>
    </w:p>
    <w:p>
      <w:pPr>
        <w:suppressAutoHyphens/>
        <w:jc w:val="both"/>
        <w:rPr>
          <w:rFonts w:hint="eastAsia" w:ascii="楷体" w:hAnsi="Times New Roman" w:eastAsia="楷体"/>
          <w:bCs/>
          <w:spacing w:val="-2"/>
          <w:sz w:val="22"/>
          <w:szCs w:val="22"/>
        </w:rPr>
      </w:pPr>
      <w:r>
        <w:rPr>
          <w:rFonts w:hint="eastAsia" w:ascii="楷体" w:hAnsi="Times New Roman" w:eastAsia="楷体"/>
          <w:bCs/>
          <w:spacing w:val="-2"/>
          <w:sz w:val="22"/>
          <w:szCs w:val="22"/>
        </w:rPr>
        <w:t>因采用国际上最新发展的高级助剂系统，能对塑料原料的氧化变黄，塑料原料中所含的某些助剂的氧化变黄，钛白粉氧化变黄（注：钛白粉的“光变黄”是另一种变黄机制，必须使用另一类助剂体系），有全面的保护作用。</w:t>
      </w:r>
    </w:p>
    <w:p>
      <w:pPr>
        <w:suppressAutoHyphens/>
        <w:jc w:val="both"/>
        <w:rPr>
          <w:rFonts w:hint="eastAsia" w:ascii="楷体" w:hAnsi="Times New Roman" w:eastAsia="楷体"/>
          <w:bCs/>
          <w:spacing w:val="-2"/>
          <w:sz w:val="22"/>
          <w:szCs w:val="22"/>
        </w:rPr>
      </w:pPr>
      <w:r>
        <w:rPr>
          <w:rFonts w:hint="eastAsia" w:ascii="楷体" w:hAnsi="Times New Roman" w:eastAsia="楷体"/>
          <w:bCs/>
          <w:spacing w:val="-2"/>
          <w:sz w:val="22"/>
          <w:szCs w:val="22"/>
        </w:rPr>
        <w:t>助剂的分散度可达到“低微米级”的微粒直径。因此，效能高于一般抗氧种(母料）数倍。</w:t>
      </w:r>
    </w:p>
    <w:p>
      <w:pPr>
        <w:suppressAutoHyphens/>
        <w:jc w:val="both"/>
        <w:rPr>
          <w:rFonts w:hint="eastAsia" w:ascii="楷体" w:hAnsi="Times New Roman" w:eastAsia="楷体"/>
          <w:b/>
          <w:spacing w:val="-2"/>
          <w:sz w:val="24"/>
          <w:szCs w:val="24"/>
        </w:rPr>
      </w:pPr>
      <w:r>
        <w:rPr>
          <w:rFonts w:hint="eastAsia" w:ascii="楷体" w:hAnsi="Times New Roman" w:eastAsia="楷体"/>
          <w:b/>
          <w:spacing w:val="-2"/>
          <w:sz w:val="24"/>
          <w:szCs w:val="24"/>
        </w:rPr>
        <w:t>应用领域</w:t>
      </w:r>
    </w:p>
    <w:p>
      <w:pPr>
        <w:suppressAutoHyphens/>
        <w:jc w:val="both"/>
        <w:rPr>
          <w:rFonts w:hint="eastAsia" w:ascii="楷体" w:hAnsi="Times New Roman" w:eastAsia="楷体"/>
          <w:bCs/>
          <w:spacing w:val="-2"/>
          <w:sz w:val="22"/>
          <w:szCs w:val="22"/>
        </w:rPr>
      </w:pPr>
      <w:r>
        <w:rPr>
          <w:rFonts w:hint="eastAsia" w:ascii="楷体" w:hAnsi="Times New Roman" w:eastAsia="楷体"/>
          <w:bCs/>
          <w:spacing w:val="-2"/>
          <w:sz w:val="22"/>
          <w:szCs w:val="22"/>
        </w:rPr>
        <w:t>实物包装、购物袋、重包装等</w:t>
      </w:r>
    </w:p>
    <w:p>
      <w:pPr>
        <w:suppressAutoHyphens/>
        <w:spacing w:line="200" w:lineRule="exact"/>
        <w:jc w:val="both"/>
        <w:outlineLvl w:val="0"/>
        <w:rPr>
          <w:rFonts w:ascii="Gill Sans Condensed" w:hAnsi="Gill Sans Condensed"/>
          <w:color w:val="0000FF"/>
          <w:spacing w:val="-2"/>
          <w:sz w:val="32"/>
        </w:rPr>
      </w:pPr>
    </w:p>
    <w:p>
      <w:pPr>
        <w:suppressAutoHyphens/>
        <w:jc w:val="both"/>
        <w:outlineLvl w:val="0"/>
        <w:rPr>
          <w:rFonts w:hint="eastAsia" w:ascii="楷体" w:hAnsi="楷体" w:eastAsia="楷体" w:cs="楷体"/>
          <w:spacing w:val="-2"/>
          <w:sz w:val="24"/>
          <w:szCs w:val="24"/>
        </w:rPr>
      </w:pPr>
      <w:r>
        <w:rPr>
          <w:rFonts w:hint="eastAsia" w:ascii="楷体" w:hAnsi="楷体" w:eastAsia="楷体" w:cs="楷体"/>
          <w:spacing w:val="-2"/>
          <w:sz w:val="24"/>
          <w:szCs w:val="24"/>
        </w:rPr>
        <w:t>基本数据                    ASTM 测试标准                      数值</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Gill Sans Condensed" w:hAnsi="Gill Sans Condensed"/>
          <w:color w:val="0000FF"/>
          <w:spacing w:val="-2"/>
        </w:rPr>
        <w:t xml:space="preserve"> </w:t>
      </w:r>
      <w:r>
        <w:rPr>
          <w:rFonts w:hint="eastAsia" w:ascii="楷体" w:hAnsi="楷体" w:eastAsia="楷体" w:cs="楷体"/>
          <w:spacing w:val="-2"/>
          <w:sz w:val="22"/>
          <w:szCs w:val="22"/>
        </w:rPr>
        <w:t>载体树脂                                                              LDPE</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楷体" w:hAnsi="楷体" w:eastAsia="楷体" w:cs="楷体"/>
          <w:spacing w:val="-2"/>
          <w:sz w:val="22"/>
          <w:szCs w:val="22"/>
        </w:rPr>
        <w:t xml:space="preserve"> 熔融指数                          D 1238                             2g/10min</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楷体" w:hAnsi="楷体" w:eastAsia="楷体" w:cs="楷体"/>
          <w:spacing w:val="-2"/>
          <w:sz w:val="22"/>
          <w:szCs w:val="22"/>
        </w:rPr>
        <w:t xml:space="preserve"> 比重                            D  792                              0.94</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楷体" w:hAnsi="楷体" w:eastAsia="楷体" w:cs="楷体"/>
          <w:spacing w:val="-2"/>
          <w:sz w:val="22"/>
          <w:szCs w:val="22"/>
        </w:rPr>
        <w:t xml:space="preserve"> 含湿率                                                              &lt;1000 ppm</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楷体" w:hAnsi="楷体" w:eastAsia="楷体" w:cs="楷体"/>
          <w:spacing w:val="-2"/>
          <w:sz w:val="22"/>
          <w:szCs w:val="22"/>
        </w:rPr>
        <w:t xml:space="preserve">  功能性助剂                                                             10%</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楷体" w:hAnsi="楷体" w:eastAsia="楷体" w:cs="楷体"/>
          <w:spacing w:val="-2"/>
          <w:sz w:val="22"/>
          <w:szCs w:val="22"/>
        </w:rPr>
        <w:t xml:space="preserve">       </w:t>
      </w:r>
    </w:p>
    <w:p>
      <w:pPr>
        <w:suppressAutoHyphens/>
        <w:jc w:val="right"/>
        <w:rPr>
          <w:rFonts w:hint="eastAsia" w:ascii="楷体" w:hAnsi="Times New Roman" w:eastAsia="楷体"/>
          <w:b/>
          <w:bCs/>
          <w:spacing w:val="-2"/>
          <w:sz w:val="24"/>
          <w:szCs w:val="24"/>
          <w:u w:val="single"/>
        </w:rPr>
      </w:pPr>
      <w:r>
        <w:rPr>
          <w:rFonts w:hint="eastAsia" w:ascii="楷体" w:hAnsi="Times New Roman" w:eastAsia="楷体"/>
          <w:spacing w:val="-2"/>
          <w:sz w:val="22"/>
          <w:szCs w:val="22"/>
        </w:rPr>
        <w:t>（以上技术数据，只供参考之用）</w:t>
      </w:r>
    </w:p>
    <w:p>
      <w:pPr>
        <w:suppressAutoHyphens/>
        <w:jc w:val="both"/>
        <w:rPr>
          <w:rFonts w:hint="eastAsia" w:ascii="楷体" w:hAnsi="Times New Roman" w:eastAsia="楷体"/>
          <w:b/>
          <w:bCs/>
          <w:spacing w:val="-2"/>
          <w:sz w:val="24"/>
          <w:szCs w:val="24"/>
          <w:u w:val="single"/>
        </w:rPr>
      </w:pPr>
      <w:r>
        <w:rPr>
          <w:rFonts w:hint="eastAsia" w:ascii="楷体" w:hAnsi="Times New Roman" w:eastAsia="楷体"/>
          <w:b/>
          <w:bCs/>
          <w:spacing w:val="-2"/>
          <w:sz w:val="24"/>
          <w:szCs w:val="24"/>
          <w:u w:val="single"/>
        </w:rPr>
        <w:t>使用方法</w:t>
      </w:r>
    </w:p>
    <w:p>
      <w:pPr>
        <w:numPr>
          <w:ilvl w:val="0"/>
          <w:numId w:val="1"/>
        </w:numPr>
        <w:suppressAutoHyphens/>
        <w:spacing w:line="360" w:lineRule="auto"/>
        <w:jc w:val="both"/>
        <w:rPr>
          <w:rFonts w:hint="eastAsia" w:ascii="楷体" w:hAnsi="Times New Roman" w:eastAsia="楷体"/>
          <w:spacing w:val="-2"/>
          <w:sz w:val="22"/>
          <w:szCs w:val="22"/>
        </w:rPr>
      </w:pPr>
      <w:r>
        <w:rPr>
          <w:rFonts w:hint="eastAsia" w:ascii="楷体" w:hAnsi="Times New Roman" w:eastAsia="楷体"/>
          <w:spacing w:val="-2"/>
          <w:sz w:val="22"/>
          <w:szCs w:val="22"/>
        </w:rPr>
        <w:t>对一般的防止胶袋变黄及防止氧化晶点生成的情况下，加入量为1%。但在经过对产品老化测试情况下（根据国标标准，测试温度为90度。测试时间，可根据用户要求而定），加入量可进一步降低，例如：0.6-0.8%。</w:t>
      </w:r>
    </w:p>
    <w:p>
      <w:pPr>
        <w:numPr>
          <w:ilvl w:val="0"/>
          <w:numId w:val="1"/>
        </w:numPr>
        <w:suppressAutoHyphens/>
        <w:spacing w:line="360" w:lineRule="auto"/>
        <w:jc w:val="both"/>
        <w:rPr>
          <w:rFonts w:hint="eastAsia" w:ascii="楷体" w:hAnsi="Times New Roman" w:eastAsia="楷体"/>
          <w:spacing w:val="-2"/>
          <w:sz w:val="22"/>
          <w:szCs w:val="22"/>
        </w:rPr>
      </w:pPr>
      <w:r>
        <w:rPr>
          <w:rFonts w:hint="eastAsia" w:ascii="楷体" w:hAnsi="Times New Roman" w:eastAsia="楷体"/>
          <w:spacing w:val="-2"/>
          <w:sz w:val="22"/>
          <w:szCs w:val="22"/>
        </w:rPr>
        <w:t>对较高要求得包装胶袋，并要求胶袋在产品完成包装后，在长期的储存环境下不变黄，加入量为1.5-2%。</w:t>
      </w:r>
    </w:p>
    <w:p>
      <w:pPr>
        <w:numPr>
          <w:ilvl w:val="0"/>
          <w:numId w:val="1"/>
        </w:numPr>
        <w:suppressAutoHyphens/>
        <w:spacing w:line="360" w:lineRule="auto"/>
        <w:jc w:val="both"/>
        <w:rPr>
          <w:rFonts w:hint="eastAsia" w:ascii="楷体" w:hAnsi="Times New Roman" w:eastAsia="楷体"/>
          <w:spacing w:val="-2"/>
          <w:sz w:val="22"/>
          <w:szCs w:val="22"/>
        </w:rPr>
      </w:pPr>
      <w:r>
        <w:rPr>
          <w:rFonts w:hint="eastAsia" w:ascii="楷体" w:hAnsi="Times New Roman" w:eastAsia="楷体"/>
          <w:spacing w:val="-2"/>
          <w:sz w:val="22"/>
          <w:szCs w:val="22"/>
        </w:rPr>
        <w:t>对特殊的产品，例如具有类似永久不变黄特性的包装材料，加入量为3%。</w:t>
      </w:r>
    </w:p>
    <w:p>
      <w:pPr>
        <w:suppressAutoHyphens/>
        <w:jc w:val="both"/>
        <w:rPr>
          <w:rFonts w:hint="eastAsia" w:ascii="楷体" w:hAnsi="Times New Roman" w:eastAsia="楷体"/>
          <w:b/>
          <w:bCs/>
          <w:spacing w:val="-2"/>
          <w:sz w:val="24"/>
          <w:szCs w:val="24"/>
        </w:rPr>
      </w:pPr>
      <w:r>
        <w:rPr>
          <w:rFonts w:hint="eastAsia" w:ascii="楷体" w:hAnsi="Times New Roman" w:eastAsia="楷体"/>
          <w:b/>
          <w:bCs/>
          <w:spacing w:val="-2"/>
          <w:sz w:val="24"/>
          <w:szCs w:val="24"/>
        </w:rPr>
        <w:t>储存方式及有效储存期</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应长期储存在凉爽的仓库内。有效储存期二年。</w:t>
      </w:r>
      <w:bookmarkStart w:id="0" w:name="_GoBack"/>
      <w:bookmarkEnd w:id="0"/>
    </w:p>
    <w:p>
      <w:pPr>
        <w:suppressAutoHyphens/>
        <w:jc w:val="both"/>
        <w:rPr>
          <w:rFonts w:hint="eastAsia" w:ascii="楷体" w:hAnsi="Times New Roman" w:eastAsia="楷体"/>
          <w:b/>
          <w:bCs/>
          <w:spacing w:val="-2"/>
          <w:sz w:val="24"/>
          <w:szCs w:val="24"/>
        </w:rPr>
      </w:pPr>
      <w:r>
        <w:rPr>
          <w:rFonts w:hint="eastAsia" w:ascii="楷体" w:hAnsi="Times New Roman" w:eastAsia="楷体"/>
          <w:b/>
          <w:bCs/>
          <w:spacing w:val="-2"/>
          <w:sz w:val="24"/>
          <w:szCs w:val="24"/>
        </w:rPr>
        <w:t>食品接触安全性</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HM13-09702符合美国FDA 21 CFR 177.1520.要求，能与食品接触。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Gill Sans Condensed">
    <w:altName w:val="Segoe Print"/>
    <w:panose1 w:val="02010606040404020203"/>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204B4"/>
    <w:rsid w:val="3E4204B4"/>
    <w:rsid w:val="624C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ourier" w:hAnsi="Courier" w:eastAsia="宋体" w:cs="Times New Roman"/>
      <w:lang w:val="en-US" w:eastAsia="zh-CN" w:bidi="ar-SA"/>
    </w:rPr>
  </w:style>
  <w:style w:type="paragraph" w:styleId="2">
    <w:name w:val="heading 1"/>
    <w:basedOn w:val="1"/>
    <w:next w:val="1"/>
    <w:qFormat/>
    <w:uiPriority w:val="0"/>
    <w:pPr>
      <w:keepNext/>
      <w:suppressAutoHyphens/>
      <w:jc w:val="both"/>
      <w:outlineLvl w:val="0"/>
    </w:pPr>
    <w:rPr>
      <w:rFonts w:ascii="Times New Roman" w:hAnsi="Times New Roman"/>
      <w:b/>
      <w:spacing w:val="-2"/>
      <w:sz w:val="24"/>
      <w:u w:val="single"/>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tabs>
        <w:tab w:val="right" w:pos="9360"/>
      </w:tab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2020-08-29T07:40:00Z</dcterms:created>
  <dc:creator>风歌</dc:creator>
  <cp:lastModifiedBy>风歌</cp:lastModifiedBy>
  <dcterms:modified xsi:type="dcterms:W3CDTF">2020-08-29T11:25:32Z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