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jc w:val="both"/>
        <w:outlineLvl w:val="0"/>
        <w:rPr>
          <w:rFonts w:ascii="Gill Sans Condensed" w:hAnsi="Gill Sans Condensed"/>
          <w:color w:val="0000FF"/>
          <w:spacing w:val="-2"/>
          <w:sz w:val="32"/>
        </w:rPr>
      </w:pPr>
      <w:r>
        <w:rPr>
          <w:b/>
          <w:spacing w:val="-2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73025</wp:posOffset>
                </wp:positionV>
                <wp:extent cx="4389120" cy="822960"/>
                <wp:effectExtent l="4445" t="4445" r="13335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912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4F1C6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Impact" w:hAnsi="Impact" w:eastAsia="楷体"/>
                                <w:b/>
                                <w:color w:val="4F1C6C"/>
                                <w:sz w:val="44"/>
                              </w:rPr>
                            </w:pPr>
                            <w:r>
                              <w:rPr>
                                <w:rFonts w:hint="eastAsia" w:ascii="Impact" w:hAnsi="Impact"/>
                                <w:b/>
                                <w:color w:val="0000FF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Impact" w:hAnsi="Impact"/>
                                <w:b/>
                                <w:color w:val="4F1C6C"/>
                                <w:sz w:val="44"/>
                              </w:rPr>
                              <w:t>PELH1000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Impact" w:hAnsi="Impact" w:eastAsia="楷体"/>
                                <w:b/>
                                <w:color w:val="4F1C6C"/>
                                <w:sz w:val="36"/>
                              </w:rPr>
                            </w:pPr>
                            <w:r>
                              <w:rPr>
                                <w:rFonts w:hint="eastAsia" w:ascii="Impact" w:hAnsi="Impact" w:eastAsia="楷体"/>
                                <w:b/>
                                <w:color w:val="4F1C6C"/>
                                <w:sz w:val="36"/>
                              </w:rPr>
                              <w:t>抗老化母粒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.3pt;margin-top:5.75pt;height:64.8pt;width:345.6pt;z-index:251672576;mso-width-relative:page;mso-height-relative:page;" fillcolor="#FFFFFF" filled="t" stroked="t" coordsize="21600,21600" o:gfxdata="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Ll&#10;z67WAAAACQEAAA8AAAAAAAAAAQAgAAAAIgAAAGRycy9kb3ducmV2LnhtbFBLAQIUABQAAAAIAIdO&#10;4kBhCphi7AEAANsDAAAOAAAAAAAAAAEAIAAAACUBAABkcnMvZTJvRG9jLnhtbFBLBQYAAAAABgAG&#10;AFkBAACDBQAAAAA=&#10;">
                <v:fill on="t" focussize="0,0"/>
                <v:stroke color="#4F1C6C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Impact" w:hAnsi="Impact" w:eastAsia="楷体"/>
                          <w:b/>
                          <w:color w:val="4F1C6C"/>
                          <w:sz w:val="44"/>
                        </w:rPr>
                      </w:pPr>
                      <w:r>
                        <w:rPr>
                          <w:rFonts w:hint="eastAsia" w:ascii="Impact" w:hAnsi="Impact"/>
                          <w:b/>
                          <w:color w:val="0000FF"/>
                          <w:sz w:val="44"/>
                        </w:rPr>
                        <w:t xml:space="preserve"> </w:t>
                      </w:r>
                      <w:r>
                        <w:rPr>
                          <w:rFonts w:hint="eastAsia" w:ascii="Impact" w:hAnsi="Impact"/>
                          <w:b/>
                          <w:color w:val="4F1C6C"/>
                          <w:sz w:val="44"/>
                        </w:rPr>
                        <w:t>PELH1000</w:t>
                      </w:r>
                    </w:p>
                    <w:p>
                      <w:pPr>
                        <w:jc w:val="center"/>
                        <w:rPr>
                          <w:rFonts w:hint="eastAsia" w:ascii="Impact" w:hAnsi="Impact" w:eastAsia="楷体"/>
                          <w:b/>
                          <w:color w:val="4F1C6C"/>
                          <w:sz w:val="36"/>
                        </w:rPr>
                      </w:pPr>
                      <w:r>
                        <w:rPr>
                          <w:rFonts w:hint="eastAsia" w:ascii="Impact" w:hAnsi="Impact" w:eastAsia="楷体"/>
                          <w:b/>
                          <w:color w:val="4F1C6C"/>
                          <w:sz w:val="36"/>
                        </w:rPr>
                        <w:t>抗老化母粒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uppressAutoHyphens/>
        <w:jc w:val="both"/>
        <w:outlineLvl w:val="0"/>
        <w:rPr>
          <w:rFonts w:ascii="Gill Sans Condensed" w:hAnsi="Gill Sans Condensed"/>
          <w:color w:val="0000FF"/>
          <w:spacing w:val="-2"/>
          <w:sz w:val="32"/>
        </w:rPr>
      </w:pPr>
    </w:p>
    <w:p>
      <w:pPr>
        <w:suppressAutoHyphens/>
        <w:jc w:val="both"/>
        <w:outlineLvl w:val="0"/>
        <w:rPr>
          <w:rFonts w:ascii="Gill Sans Condensed" w:hAnsi="Gill Sans Condensed"/>
          <w:color w:val="0000FF"/>
          <w:spacing w:val="-2"/>
          <w:sz w:val="32"/>
        </w:rPr>
      </w:pPr>
    </w:p>
    <w:p>
      <w:pPr>
        <w:pBdr>
          <w:top w:val="thinThickSmallGap" w:color="0000FF" w:sz="24" w:space="1"/>
        </w:pBdr>
        <w:suppressAutoHyphens/>
        <w:jc w:val="right"/>
        <w:outlineLvl w:val="0"/>
        <w:rPr>
          <w:rFonts w:ascii="Gill Sans Condensed" w:hAnsi="Gill Sans Condensed"/>
          <w:color w:val="0000FF"/>
          <w:spacing w:val="-2"/>
        </w:rPr>
      </w:pPr>
      <w:r>
        <w:rPr>
          <w:rFonts w:hint="eastAsia" w:eastAsia="楷体"/>
          <w:i/>
        </w:rPr>
        <w:t>产 品 说 明 书</w:t>
      </w:r>
    </w:p>
    <w:p>
      <w:pPr>
        <w:pStyle w:val="2"/>
        <w:rPr>
          <w:rFonts w:hint="eastAsia" w:ascii="楷体" w:eastAsia="楷体"/>
          <w:szCs w:val="24"/>
          <w:u w:val="none"/>
        </w:rPr>
      </w:pPr>
      <w:r>
        <w:rPr>
          <w:rFonts w:hint="eastAsia" w:ascii="楷体" w:eastAsia="楷体"/>
          <w:szCs w:val="24"/>
          <w:u w:val="none"/>
        </w:rPr>
        <w:t>性能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。用于防止老化问题引起的材料物性老化、龟裂、颜色黄变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。特别适用于户外产品，能有效延长户外产品的使用寿命</w:t>
      </w:r>
    </w:p>
    <w:p>
      <w:pPr>
        <w:suppressAutoHyphens/>
        <w:jc w:val="both"/>
        <w:rPr>
          <w:rFonts w:hint="eastAsia" w:ascii="楷体" w:hAnsi="Times New Roman" w:eastAsia="楷体"/>
          <w:b/>
          <w:spacing w:val="-2"/>
          <w:sz w:val="24"/>
          <w:szCs w:val="24"/>
        </w:rPr>
      </w:pPr>
      <w:r>
        <w:rPr>
          <w:rFonts w:hint="eastAsia" w:ascii="楷体" w:hAnsi="Times New Roman" w:eastAsia="楷体"/>
          <w:b/>
          <w:spacing w:val="-2"/>
          <w:sz w:val="24"/>
          <w:szCs w:val="24"/>
        </w:rPr>
        <w:t>应用领域</w:t>
      </w:r>
    </w:p>
    <w:p>
      <w:pPr>
        <w:suppressAutoHyphens/>
        <w:jc w:val="both"/>
        <w:outlineLvl w:val="0"/>
        <w:rPr>
          <w:rFonts w:hint="eastAsia" w:ascii="楷体" w:hAnsi="Times New Roman" w:eastAsia="楷体"/>
          <w:bCs/>
          <w:spacing w:val="-2"/>
          <w:sz w:val="22"/>
          <w:szCs w:val="22"/>
        </w:rPr>
      </w:pPr>
      <w:r>
        <w:rPr>
          <w:rFonts w:hint="eastAsia" w:ascii="楷体" w:hAnsi="Times New Roman" w:eastAsia="楷体"/>
          <w:bCs/>
          <w:spacing w:val="-2"/>
          <w:sz w:val="22"/>
          <w:szCs w:val="22"/>
        </w:rPr>
        <w:t>户外产品：建筑保护膜、农用膜、地膜、户外食品保护膜等。</w:t>
      </w:r>
    </w:p>
    <w:p>
      <w:pPr>
        <w:suppressAutoHyphens/>
        <w:jc w:val="both"/>
        <w:outlineLvl w:val="0"/>
        <w:rPr>
          <w:rFonts w:hint="eastAsia" w:ascii="楷体" w:hAnsi="楷体" w:eastAsia="楷体" w:cs="楷体"/>
          <w:spacing w:val="-2"/>
          <w:sz w:val="24"/>
          <w:szCs w:val="24"/>
        </w:rPr>
      </w:pPr>
      <w:r>
        <w:rPr>
          <w:rFonts w:hint="eastAsia" w:ascii="楷体" w:hAnsi="楷体" w:eastAsia="楷体" w:cs="楷体"/>
          <w:spacing w:val="-2"/>
          <w:sz w:val="24"/>
          <w:szCs w:val="24"/>
        </w:rPr>
        <w:t xml:space="preserve"> </w:t>
      </w:r>
      <w:r>
        <w:rPr>
          <w:rFonts w:hint="eastAsia" w:ascii="楷体" w:hAnsi="楷体" w:eastAsia="楷体" w:cs="楷体"/>
          <w:b/>
          <w:bCs/>
          <w:spacing w:val="-2"/>
          <w:sz w:val="24"/>
          <w:szCs w:val="24"/>
        </w:rPr>
        <w:t>基本数据                    ASTM 测试标准                        数值</w:t>
      </w:r>
    </w:p>
    <w:p>
      <w:pPr>
        <w:pBdr>
          <w:top w:val="thinThickSmallGap" w:color="0000FF" w:sz="24" w:space="1"/>
        </w:pBdr>
        <w:suppressAutoHyphens/>
        <w:outlineLvl w:val="0"/>
        <w:rPr>
          <w:rFonts w:hint="eastAsia" w:ascii="楷体" w:hAnsi="楷体" w:eastAsia="楷体" w:cs="楷体"/>
          <w:spacing w:val="-2"/>
          <w:sz w:val="22"/>
          <w:szCs w:val="22"/>
        </w:rPr>
      </w:pPr>
      <w:r>
        <w:rPr>
          <w:rFonts w:hint="eastAsia" w:ascii="Gill Sans Condensed" w:hAnsi="Gill Sans Condensed"/>
          <w:color w:val="0000FF"/>
          <w:spacing w:val="-2"/>
        </w:rPr>
        <w:t xml:space="preserve"> </w:t>
      </w:r>
      <w:r>
        <w:rPr>
          <w:rFonts w:hint="eastAsia" w:ascii="楷体" w:hAnsi="楷体" w:eastAsia="楷体" w:cs="楷体"/>
          <w:spacing w:val="-2"/>
          <w:sz w:val="22"/>
          <w:szCs w:val="22"/>
        </w:rPr>
        <w:t>载体树脂                                                               LDPE</w:t>
      </w:r>
    </w:p>
    <w:p>
      <w:pPr>
        <w:pBdr>
          <w:top w:val="thinThickSmallGap" w:color="0000FF" w:sz="24" w:space="1"/>
        </w:pBdr>
        <w:suppressAutoHyphens/>
        <w:outlineLvl w:val="0"/>
        <w:rPr>
          <w:rFonts w:hint="eastAsia" w:ascii="楷体" w:hAnsi="楷体" w:eastAsia="楷体" w:cs="楷体"/>
          <w:spacing w:val="-2"/>
          <w:sz w:val="22"/>
          <w:szCs w:val="22"/>
        </w:rPr>
      </w:pPr>
      <w:r>
        <w:rPr>
          <w:rFonts w:hint="eastAsia" w:ascii="楷体" w:hAnsi="楷体" w:eastAsia="楷体" w:cs="楷体"/>
          <w:spacing w:val="-2"/>
          <w:sz w:val="22"/>
          <w:szCs w:val="22"/>
        </w:rPr>
        <w:t xml:space="preserve"> 熔融指数                          D 1238                             7g/10min</w:t>
      </w:r>
    </w:p>
    <w:p>
      <w:pPr>
        <w:pBdr>
          <w:top w:val="thinThickSmallGap" w:color="0000FF" w:sz="24" w:space="1"/>
        </w:pBdr>
        <w:suppressAutoHyphens/>
        <w:outlineLvl w:val="0"/>
        <w:rPr>
          <w:rFonts w:hint="eastAsia" w:ascii="楷体" w:hAnsi="楷体" w:eastAsia="楷体" w:cs="楷体"/>
          <w:spacing w:val="-2"/>
          <w:sz w:val="22"/>
          <w:szCs w:val="22"/>
        </w:rPr>
      </w:pPr>
      <w:r>
        <w:rPr>
          <w:rFonts w:hint="eastAsia" w:ascii="楷体" w:hAnsi="楷体" w:eastAsia="楷体" w:cs="楷体"/>
          <w:spacing w:val="-2"/>
          <w:sz w:val="22"/>
          <w:szCs w:val="22"/>
        </w:rPr>
        <w:t xml:space="preserve">  比重                            D  792                               0.94</w:t>
      </w:r>
    </w:p>
    <w:p>
      <w:pPr>
        <w:pBdr>
          <w:top w:val="thinThickSmallGap" w:color="0000FF" w:sz="24" w:space="1"/>
        </w:pBdr>
        <w:suppressAutoHyphens/>
        <w:outlineLvl w:val="0"/>
        <w:rPr>
          <w:rFonts w:hint="eastAsia" w:ascii="楷体" w:hAnsi="楷体" w:eastAsia="楷体" w:cs="楷体"/>
          <w:spacing w:val="-2"/>
          <w:sz w:val="22"/>
          <w:szCs w:val="22"/>
        </w:rPr>
      </w:pPr>
      <w:r>
        <w:rPr>
          <w:rFonts w:hint="eastAsia" w:ascii="楷体" w:hAnsi="楷体" w:eastAsia="楷体" w:cs="楷体"/>
          <w:spacing w:val="-2"/>
          <w:sz w:val="22"/>
          <w:szCs w:val="22"/>
        </w:rPr>
        <w:t xml:space="preserve"> 含湿率                                                              &lt;1000 ppm</w:t>
      </w:r>
    </w:p>
    <w:p>
      <w:pPr>
        <w:pBdr>
          <w:top w:val="thinThickSmallGap" w:color="0000FF" w:sz="24" w:space="1"/>
        </w:pBdr>
        <w:suppressAutoHyphens/>
        <w:outlineLvl w:val="0"/>
        <w:rPr>
          <w:rFonts w:hint="eastAsia" w:ascii="楷体" w:hAnsi="楷体" w:eastAsia="楷体" w:cs="楷体"/>
          <w:spacing w:val="-2"/>
          <w:sz w:val="22"/>
          <w:szCs w:val="22"/>
        </w:rPr>
      </w:pPr>
      <w:r>
        <w:rPr>
          <w:rFonts w:hint="eastAsia" w:ascii="楷体" w:hAnsi="楷体" w:eastAsia="楷体" w:cs="楷体"/>
          <w:spacing w:val="-2"/>
          <w:sz w:val="22"/>
          <w:szCs w:val="22"/>
        </w:rPr>
        <w:t xml:space="preserve"> 有效抗老化剂                                                             </w:t>
      </w:r>
      <w:bookmarkStart w:id="0" w:name="_GoBack"/>
      <w:bookmarkEnd w:id="0"/>
      <w:r>
        <w:rPr>
          <w:rFonts w:hint="eastAsia" w:ascii="楷体" w:hAnsi="楷体" w:eastAsia="楷体" w:cs="楷体"/>
          <w:spacing w:val="-2"/>
          <w:sz w:val="22"/>
          <w:szCs w:val="22"/>
        </w:rPr>
        <w:t>20%</w:t>
      </w:r>
    </w:p>
    <w:p>
      <w:pPr>
        <w:tabs>
          <w:tab w:val="left" w:pos="-720"/>
        </w:tabs>
        <w:suppressAutoHyphens/>
        <w:ind w:right="436"/>
        <w:rPr>
          <w:rFonts w:hint="eastAsia" w:ascii="Abadi MT Condensed" w:hAnsi="Abadi MT Condensed"/>
          <w:b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（以上技术数据，只供参考之用）</w:t>
      </w:r>
      <w:r>
        <w:rPr>
          <w:rFonts w:hint="eastAsia"/>
        </w:rPr>
        <w:t xml:space="preserve"> </w:t>
      </w:r>
    </w:p>
    <w:p>
      <w:pPr>
        <w:suppressAutoHyphens/>
        <w:jc w:val="both"/>
        <w:rPr>
          <w:rFonts w:hint="eastAsia" w:ascii="楷体" w:hAnsi="Times New Roman" w:eastAsia="楷体"/>
          <w:b/>
          <w:bCs/>
          <w:spacing w:val="-2"/>
          <w:sz w:val="24"/>
          <w:szCs w:val="24"/>
          <w:u w:val="single"/>
        </w:rPr>
      </w:pPr>
      <w:r>
        <w:rPr>
          <w:rFonts w:hint="eastAsia" w:ascii="楷体" w:hAnsi="Times New Roman" w:eastAsia="楷体"/>
          <w:b/>
          <w:bCs/>
          <w:spacing w:val="-2"/>
          <w:sz w:val="24"/>
          <w:szCs w:val="24"/>
          <w:u w:val="single"/>
        </w:rPr>
        <w:t>建议添加比例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对于一般的防止老化及黄变，添加量为1.5%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对较高要求的包装产品，添加量为3%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对特殊产品，例如要求保护年限超过2年的，添加量为4%—8%</w:t>
      </w:r>
    </w:p>
    <w:p>
      <w:pPr>
        <w:suppressAutoHyphens/>
        <w:jc w:val="both"/>
        <w:rPr>
          <w:rFonts w:hint="eastAsia" w:ascii="楷体" w:hAnsi="Times New Roman" w:eastAsia="楷体"/>
          <w:b/>
          <w:bCs/>
          <w:spacing w:val="-2"/>
          <w:sz w:val="24"/>
          <w:szCs w:val="24"/>
          <w:u w:val="single"/>
        </w:rPr>
      </w:pPr>
      <w:r>
        <w:rPr>
          <w:rFonts w:hint="eastAsia" w:ascii="楷体" w:hAnsi="Times New Roman" w:eastAsia="楷体"/>
          <w:b/>
          <w:bCs/>
          <w:spacing w:val="-2"/>
          <w:sz w:val="24"/>
          <w:szCs w:val="24"/>
          <w:u w:val="single"/>
        </w:rPr>
        <w:t>储存方式及有效储存期</w:t>
      </w:r>
    </w:p>
    <w:p>
      <w:pPr>
        <w:suppressAutoHyphens/>
        <w:spacing w:line="240" w:lineRule="exact"/>
        <w:jc w:val="both"/>
        <w:rPr>
          <w:rFonts w:hint="eastAsia" w:ascii="楷体" w:hAnsi="Times New Roman" w:eastAsia="楷体"/>
          <w:b/>
          <w:bCs/>
          <w:spacing w:val="-2"/>
          <w:sz w:val="24"/>
          <w:szCs w:val="24"/>
        </w:rPr>
      </w:pP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应长期储存在凉爽的仓库内。有效储存期二年。</w:t>
      </w:r>
    </w:p>
    <w:p>
      <w:pPr>
        <w:suppressAutoHyphens/>
        <w:jc w:val="both"/>
        <w:rPr>
          <w:rFonts w:hint="eastAsia" w:ascii="楷体" w:hAnsi="Times New Roman" w:eastAsia="楷体"/>
          <w:b/>
          <w:bCs/>
          <w:spacing w:val="-2"/>
          <w:sz w:val="24"/>
          <w:szCs w:val="24"/>
        </w:rPr>
      </w:pPr>
      <w:r>
        <w:rPr>
          <w:rFonts w:hint="eastAsia" w:ascii="楷体" w:hAnsi="Times New Roman" w:eastAsia="楷体"/>
          <w:b/>
          <w:bCs/>
          <w:spacing w:val="-2"/>
          <w:sz w:val="24"/>
          <w:szCs w:val="24"/>
        </w:rPr>
        <w:t>食品接触安全性</w:t>
      </w:r>
    </w:p>
    <w:p>
      <w:pPr>
        <w:suppressAutoHyphens/>
        <w:spacing w:line="200" w:lineRule="exact"/>
        <w:jc w:val="both"/>
        <w:rPr>
          <w:rFonts w:hint="eastAsia" w:ascii="楷体" w:hAnsi="Times New Roman" w:eastAsia="楷体"/>
          <w:b/>
          <w:bCs/>
          <w:spacing w:val="-2"/>
          <w:sz w:val="24"/>
          <w:szCs w:val="24"/>
        </w:rPr>
      </w:pP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符合美国FDA 21 CFR 177.1520.要求，能与食品接触。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Gill Sans Condensed">
    <w:altName w:val="Segoe Print"/>
    <w:panose1 w:val="02010606040404020203"/>
    <w:charset w:val="00"/>
    <w:family w:val="auto"/>
    <w:pitch w:val="default"/>
    <w:sig w:usb0="00000000" w:usb1="00000000" w:usb2="00000000" w:usb3="00000000" w:csb0="000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badi MT Condensed">
    <w:altName w:val="MV Boli"/>
    <w:panose1 w:val="020B0506030101010103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A25EF"/>
    <w:rsid w:val="07EB28D4"/>
    <w:rsid w:val="36FA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ourier" w:hAnsi="Courier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uppressAutoHyphens/>
      <w:jc w:val="both"/>
      <w:outlineLvl w:val="0"/>
    </w:pPr>
    <w:rPr>
      <w:rFonts w:ascii="Times New Roman" w:hAnsi="Times New Roman"/>
      <w:b/>
      <w:spacing w:val="-2"/>
      <w:sz w:val="24"/>
      <w:u w:val="single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2020-08-29T08:29:00Z</dcterms:created>
  <dc:creator>风歌</dc:creator>
  <cp:lastModifiedBy>风歌</cp:lastModifiedBy>
  <dcterms:modified xsi:type="dcterms:W3CDTF">2020-08-29T11:21:58Z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