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b/>
          <w:spacing w:val="-2"/>
          <w:sz w:val="24"/>
          <w:u w:val="single"/>
        </w:rPr>
      </w:pPr>
      <w:bookmarkStart w:id="1" w:name="_GoBack"/>
      <w:bookmarkEnd w:id="1"/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40640</wp:posOffset>
                </wp:positionV>
                <wp:extent cx="4930775" cy="822960"/>
                <wp:effectExtent l="4445" t="4445" r="5080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0000FF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PEKS1000</w:t>
                            </w:r>
                            <w:r>
                              <w:rPr>
                                <w:rFonts w:hint="eastAsia" w:ascii="Impact" w:hAnsi="Impact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经济型抗粘结（开口）/爽滑剂（复配）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8pt;margin-top:3.2pt;height:64.8pt;width:388.25pt;z-index:251664384;mso-width-relative:page;mso-height-relative:page;" fillcolor="#FFFFFF" filled="t" stroked="t" coordsize="21600,21600" o:gfxdata="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xSif1QAAAAcBAAAPAAAAAAAAAAEAIAAAACIAAABkcnMvZG93bnJldi54bWxQSwECFAAUAAAACACH&#10;TuJANEHZjO4BAADbAwAADgAAAAAAAAABACAAAAAkAQAAZHJzL2Uyb0RvYy54bWxQSwUGAAAAAAYA&#10;BgBZAQAAhAUAAAAA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0000FF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PEKS1000</w:t>
                      </w:r>
                      <w:r>
                        <w:rPr>
                          <w:rFonts w:hint="eastAsia" w:ascii="Impact" w:hAnsi="Impact"/>
                          <w:b/>
                          <w:color w:val="0000FF"/>
                          <w:sz w:val="44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经济型抗粘结（开口）/爽滑剂（复配）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。提高膜材抗粘结及爽滑性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。采用高纯度芥酸酰胺，爽滑而无臭味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。能严格保证膜材表面的微观平滑度，适合生产</w:t>
      </w:r>
      <w:bookmarkStart w:id="0" w:name="OLE_LINK6"/>
      <w:r>
        <w:rPr>
          <w:rFonts w:hint="eastAsia" w:ascii="楷体" w:hAnsi="Times New Roman" w:eastAsia="楷体"/>
          <w:bCs/>
          <w:spacing w:val="-2"/>
          <w:sz w:val="22"/>
          <w:szCs w:val="22"/>
        </w:rPr>
        <w:t>凹版印刷</w:t>
      </w:r>
      <w:bookmarkEnd w:id="0"/>
      <w:r>
        <w:rPr>
          <w:rFonts w:hint="eastAsia" w:ascii="楷体" w:hAnsi="Times New Roman" w:eastAsia="楷体"/>
          <w:bCs/>
          <w:spacing w:val="-2"/>
          <w:sz w:val="22"/>
          <w:szCs w:val="22"/>
        </w:rPr>
        <w:t>（亦称：铜版印刷，或照相板印刷）用膜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。即使在较高加入量情况下，也不会发生膜材拉力下降现象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。在正常加入量下，不影响凹版印刷油墨结合牢度和封口牢度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。价格经济实惠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凹版印刷膜、食品包装膜、多层共挤膜、高透光性农膜等。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Gill Sans Condensed" w:hAnsi="Gill Sans Condensed"/>
          <w:spacing w:val="-2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功能性助剂                                                              15%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D 1238 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比重                            D  792                               0.9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含湿率                                                              &lt;1000 ppm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。视乎产品要求、原料配方、膜材生产工艺条件、膜材使用环境温度而定。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建议的添加比率为0.5至2%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。如果加入过量的芥酸酰胺（爽滑剂），可能导致螺杆打滑，印刷油墨粘附不良，热封强度差等问题。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。如果膜材含有其它添加剂，如抗静电剂，紫外光吸收剂等，可能随爽滑剂而发生迁移。如产生上述问题，客户需要评估及调整添加剂整体配方，减低各迁移性添加剂的含量。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食品接触安全性</w:t>
      </w:r>
    </w:p>
    <w:p>
      <w:pPr>
        <w:suppressAutoHyphens/>
        <w:jc w:val="both"/>
      </w:pPr>
      <w:r>
        <w:rPr>
          <w:rFonts w:hint="eastAsia" w:ascii="楷体" w:hAnsi="Times New Roman" w:eastAsia="楷体"/>
          <w:b/>
          <w:bCs/>
          <w:spacing w:val="-2"/>
          <w:sz w:val="22"/>
          <w:szCs w:val="22"/>
        </w:rPr>
        <w:t>符合美国FDA21 CFR 177.1520.要求，能与食品接触。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5F3C"/>
    <w:rsid w:val="06D06421"/>
    <w:rsid w:val="176115FB"/>
    <w:rsid w:val="19095F3C"/>
    <w:rsid w:val="27065675"/>
    <w:rsid w:val="4F571BF3"/>
    <w:rsid w:val="588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2020-08-29T08:41:00Z</dcterms:created>
  <dc:creator>风歌</dc:creator>
  <cp:lastModifiedBy>风歌</cp:lastModifiedBy>
  <dcterms:modified xsi:type="dcterms:W3CDTF">2020-08-29T11:16:54Z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