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uppressAutoHyphens/>
        <w:jc w:val="both"/>
        <w:rPr>
          <w:rFonts w:hint="eastAsia"/>
          <w:b/>
          <w:i/>
          <w:iCs/>
          <w:spacing w:val="-2"/>
          <w:sz w:val="24"/>
        </w:rPr>
      </w:pPr>
      <w:bookmarkStart w:id="0" w:name="_GoBack"/>
      <w:bookmarkEnd w:id="0"/>
      <w:r>
        <w:rPr>
          <w:b/>
          <w:spacing w:val="-2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53340</wp:posOffset>
                </wp:positionV>
                <wp:extent cx="4389120" cy="822960"/>
                <wp:effectExtent l="4445" t="4445" r="1333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4F1C6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</w:pPr>
                            <w:r>
                              <w:rPr>
                                <w:rFonts w:hint="eastAsia" w:ascii="Impact" w:hAnsi="Impact"/>
                                <w:b/>
                                <w:color w:val="4F1C6C"/>
                                <w:sz w:val="44"/>
                              </w:rPr>
                              <w:t xml:space="preserve"> PEKK4000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</w:pPr>
                            <w:r>
                              <w:rPr>
                                <w:rFonts w:hint="eastAsia" w:ascii="Impact" w:hAnsi="Impact" w:eastAsia="楷体"/>
                                <w:b/>
                                <w:color w:val="4F1C6C"/>
                                <w:sz w:val="36"/>
                              </w:rPr>
                              <w:t>透明开口剂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.2pt;margin-top:4.2pt;height:64.8pt;width:345.6pt;z-index:251686912;mso-width-relative:page;mso-height-relative:page;" fillcolor="#FFFFFF" filled="t" stroked="t" coordsize="21600,21600" o:gfxdata="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16sGuNcAAAAIAQAADwAAAAAAAAABACAAAAAiAAAAZHJzL2Rvd25yZXYueG1sUEsBAhQAFAAAAAgA&#10;h07iQMHoP8ftAQAA2wMAAA4AAAAAAAAAAQAgAAAAJgEAAGRycy9lMm9Eb2MueG1sUEsFBgAAAAAG&#10;AAYAWQEAAIUFAAAAAA==&#10;">
                <v:fill on="t" focussize="0,0"/>
                <v:stroke color="#4F1C6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</w:pPr>
                      <w:r>
                        <w:rPr>
                          <w:rFonts w:hint="eastAsia" w:ascii="Impact" w:hAnsi="Impact"/>
                          <w:b/>
                          <w:color w:val="4F1C6C"/>
                          <w:sz w:val="44"/>
                        </w:rPr>
                        <w:t xml:space="preserve"> PEKK4000</w:t>
                      </w:r>
                    </w:p>
                    <w:p>
                      <w:pPr>
                        <w:jc w:val="center"/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</w:pPr>
                      <w:r>
                        <w:rPr>
                          <w:rFonts w:hint="eastAsia" w:ascii="Impact" w:hAnsi="Impact" w:eastAsia="楷体"/>
                          <w:b/>
                          <w:color w:val="4F1C6C"/>
                          <w:sz w:val="36"/>
                        </w:rPr>
                        <w:t>透明开口剂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uppressAutoHyphens/>
        <w:jc w:val="both"/>
        <w:rPr>
          <w:rFonts w:hint="eastAsia"/>
          <w:b/>
          <w:i/>
          <w:iCs/>
          <w:spacing w:val="-2"/>
          <w:sz w:val="24"/>
        </w:rPr>
      </w:pPr>
    </w:p>
    <w:p>
      <w:pPr>
        <w:suppressAutoHyphens/>
        <w:jc w:val="both"/>
        <w:outlineLvl w:val="0"/>
        <w:rPr>
          <w:rFonts w:ascii="Gill Sans Condensed" w:hAnsi="Gill Sans Condensed"/>
          <w:color w:val="0000FF"/>
          <w:spacing w:val="-2"/>
          <w:sz w:val="32"/>
        </w:rPr>
      </w:pPr>
    </w:p>
    <w:p>
      <w:pPr>
        <w:suppressAutoHyphens/>
        <w:jc w:val="both"/>
        <w:outlineLvl w:val="0"/>
        <w:rPr>
          <w:rFonts w:ascii="Gill Sans Condensed" w:hAnsi="Gill Sans Condensed"/>
          <w:color w:val="0000FF"/>
          <w:spacing w:val="-2"/>
          <w:sz w:val="32"/>
        </w:rPr>
      </w:pPr>
    </w:p>
    <w:p>
      <w:pPr>
        <w:pBdr>
          <w:top w:val="thinThickSmallGap" w:color="0000FF" w:sz="24" w:space="1"/>
        </w:pBdr>
        <w:suppressAutoHyphens/>
        <w:jc w:val="right"/>
        <w:outlineLvl w:val="0"/>
        <w:rPr>
          <w:rFonts w:ascii="Gill Sans Condensed" w:hAnsi="Gill Sans Condensed"/>
          <w:color w:val="0000FF"/>
          <w:spacing w:val="-2"/>
        </w:rPr>
      </w:pPr>
      <w:r>
        <w:rPr>
          <w:rFonts w:hint="eastAsia" w:eastAsia="楷体"/>
          <w:i/>
        </w:rPr>
        <w:t>产 品 说 明 书</w:t>
      </w:r>
    </w:p>
    <w:p>
      <w:pPr>
        <w:pStyle w:val="2"/>
        <w:rPr>
          <w:rFonts w:hint="eastAsia" w:ascii="楷体" w:eastAsia="楷体"/>
          <w:szCs w:val="24"/>
          <w:u w:val="none"/>
        </w:rPr>
      </w:pPr>
      <w:r>
        <w:rPr>
          <w:rFonts w:hint="eastAsia" w:ascii="楷体" w:eastAsia="楷体"/>
          <w:szCs w:val="24"/>
          <w:u w:val="none"/>
        </w:rPr>
        <w:t>性能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。提高膜材抗粘结性能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。含高透明微晶玻璃，加入膜材后，不影响膜材原有的透明度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。不含爽滑剂，不影响膜材表面金属蒸镀、复合胶粘牢度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。即使在高比例加入时也不影响胶袋的热封口结合牢度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其他特点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。能严格保证膜材表面的微观平滑度，适合生产凹版印刷（亦称：铜版印刷或照相板印刷）用膜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。绝不有“走粉”情况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。即使在较高加入量情况下，也不会发生膜材拉力下降现象</w:t>
      </w:r>
    </w:p>
    <w:p>
      <w:pPr>
        <w:suppressAutoHyphens/>
        <w:jc w:val="both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。由于使用低硬度柔性微晶玻璃作为开口剂，因此对精密高速膜材生产设备的钢铁部件（例如螺杆及模头），   有良好的磨损保护性</w:t>
      </w:r>
    </w:p>
    <w:p>
      <w:pPr>
        <w:suppressAutoHyphens/>
        <w:jc w:val="both"/>
        <w:rPr>
          <w:rFonts w:hint="eastAsia" w:ascii="楷体" w:hAnsi="Times New Roman" w:eastAsia="楷体"/>
          <w:b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spacing w:val="-2"/>
          <w:sz w:val="24"/>
          <w:szCs w:val="24"/>
        </w:rPr>
        <w:t>应用领域</w:t>
      </w:r>
    </w:p>
    <w:p>
      <w:pPr>
        <w:suppressAutoHyphens/>
        <w:jc w:val="both"/>
        <w:outlineLvl w:val="0"/>
        <w:rPr>
          <w:rFonts w:hint="eastAsia" w:ascii="楷体" w:hAnsi="Times New Roman" w:eastAsia="楷体"/>
          <w:bCs/>
          <w:spacing w:val="-2"/>
          <w:sz w:val="22"/>
          <w:szCs w:val="22"/>
        </w:rPr>
      </w:pPr>
      <w:r>
        <w:rPr>
          <w:rFonts w:hint="eastAsia" w:ascii="楷体" w:hAnsi="Times New Roman" w:eastAsia="楷体"/>
          <w:bCs/>
          <w:spacing w:val="-2"/>
          <w:sz w:val="22"/>
          <w:szCs w:val="22"/>
        </w:rPr>
        <w:t>金属蒸镀膜、胶粘复合膜、凹版印刷膜、食品包装膜、重包装膜、多层共挤膜、高透光农膜等。</w:t>
      </w:r>
    </w:p>
    <w:p>
      <w:pPr>
        <w:suppressAutoHyphens/>
        <w:jc w:val="both"/>
        <w:outlineLvl w:val="0"/>
        <w:rPr>
          <w:rFonts w:hint="eastAsia" w:ascii="楷体" w:hAnsi="楷体" w:eastAsia="楷体" w:cs="楷体"/>
          <w:spacing w:val="-2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pacing w:val="-2"/>
          <w:sz w:val="24"/>
          <w:szCs w:val="24"/>
        </w:rPr>
        <w:t>基本数据                    ASTM 测试标准                        数值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>载体树脂                                                               LDPE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功能性助剂                                                            10%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 xml:space="preserve"> 熔融指数                          D 1238                             7g/10min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>比重                            D  792                               0.98</w:t>
      </w:r>
    </w:p>
    <w:p>
      <w:pPr>
        <w:pBdr>
          <w:top w:val="thinThickSmallGap" w:color="0000FF" w:sz="24" w:space="1"/>
        </w:pBdr>
        <w:suppressAutoHyphens/>
        <w:outlineLvl w:val="0"/>
        <w:rPr>
          <w:rFonts w:hint="eastAsia" w:ascii="楷体" w:hAnsi="楷体" w:eastAsia="楷体" w:cs="楷体"/>
          <w:spacing w:val="-2"/>
          <w:sz w:val="22"/>
          <w:szCs w:val="22"/>
        </w:rPr>
      </w:pPr>
      <w:r>
        <w:rPr>
          <w:rFonts w:hint="eastAsia" w:ascii="楷体" w:hAnsi="楷体" w:eastAsia="楷体" w:cs="楷体"/>
          <w:spacing w:val="-2"/>
          <w:sz w:val="22"/>
          <w:szCs w:val="22"/>
        </w:rPr>
        <w:t>含湿率                                                               &lt;1000 ppm</w:t>
      </w:r>
    </w:p>
    <w:p>
      <w:pPr>
        <w:tabs>
          <w:tab w:val="left" w:pos="-720"/>
        </w:tabs>
        <w:suppressAutoHyphens/>
        <w:jc w:val="both"/>
        <w:rPr>
          <w:rFonts w:hint="eastAsia" w:ascii="Abadi MT Condensed" w:hAnsi="Abadi MT Condensed"/>
          <w:b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（以上技术数据，只供参考之用）</w:t>
      </w:r>
      <w:r>
        <w:rPr>
          <w:rFonts w:hint="eastAsia"/>
        </w:rPr>
        <w:t xml:space="preserve"> 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建议添加比例</w:t>
      </w:r>
    </w:p>
    <w:p>
      <w:pPr>
        <w:suppressAutoHyphens/>
        <w:spacing w:line="360" w:lineRule="auto"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视乎产品要求、原料配方、膜材生产工艺条件、膜材使用环境温度而定</w:t>
      </w:r>
    </w:p>
    <w:p>
      <w:pPr>
        <w:suppressAutoHyphens/>
        <w:spacing w:line="360" w:lineRule="auto"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建议添加比率为0.5至2%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  <w:u w:val="single"/>
        </w:rPr>
        <w:t>储存方式及有效储存期</w:t>
      </w:r>
    </w:p>
    <w:p>
      <w:pPr>
        <w:suppressAutoHyphens/>
        <w:jc w:val="both"/>
        <w:rPr>
          <w:rFonts w:hint="eastAsia" w:ascii="楷体" w:hAnsi="Times New Roman" w:eastAsia="楷体"/>
          <w:spacing w:val="-2"/>
          <w:sz w:val="22"/>
          <w:szCs w:val="22"/>
        </w:rPr>
      </w:pPr>
      <w:r>
        <w:rPr>
          <w:rFonts w:hint="eastAsia" w:ascii="楷体" w:hAnsi="Times New Roman" w:eastAsia="楷体"/>
          <w:spacing w:val="-2"/>
          <w:sz w:val="22"/>
          <w:szCs w:val="22"/>
        </w:rPr>
        <w:t>应长期储存在凉爽的仓库内。有效储存期二年。</w:t>
      </w:r>
    </w:p>
    <w:p>
      <w:pPr>
        <w:suppressAutoHyphens/>
        <w:jc w:val="both"/>
        <w:rPr>
          <w:rFonts w:hint="eastAsia" w:ascii="楷体" w:hAnsi="Times New Roman" w:eastAsia="楷体"/>
          <w:b/>
          <w:bCs/>
          <w:spacing w:val="-2"/>
          <w:sz w:val="24"/>
          <w:szCs w:val="24"/>
        </w:rPr>
      </w:pPr>
      <w:r>
        <w:rPr>
          <w:rFonts w:hint="eastAsia" w:ascii="楷体" w:hAnsi="Times New Roman" w:eastAsia="楷体"/>
          <w:b/>
          <w:bCs/>
          <w:spacing w:val="-2"/>
          <w:sz w:val="24"/>
          <w:szCs w:val="24"/>
        </w:rPr>
        <w:t>食品接触安全性</w:t>
      </w:r>
    </w:p>
    <w:p>
      <w:r>
        <w:rPr>
          <w:rFonts w:hint="eastAsia" w:ascii="楷体" w:hAnsi="Times New Roman" w:eastAsia="楷体"/>
          <w:spacing w:val="-2"/>
          <w:sz w:val="22"/>
          <w:szCs w:val="22"/>
        </w:rPr>
        <w:t>符合美国FDA 21 CFR 177.1520.要求，能与食品接触。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ill Sans Condensed">
    <w:altName w:val="Segoe Print"/>
    <w:panose1 w:val="02010606040404020203"/>
    <w:charset w:val="00"/>
    <w:family w:val="auto"/>
    <w:pitch w:val="default"/>
    <w:sig w:usb0="00000000" w:usb1="00000000" w:usb2="00000000" w:usb3="00000000" w:csb0="00000001" w:csb1="00000000"/>
  </w:font>
  <w:font w:name="Abadi MT Condensed">
    <w:altName w:val="MV Boli"/>
    <w:panose1 w:val="020B0506030101010103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A25EF"/>
    <w:rsid w:val="09177B4A"/>
    <w:rsid w:val="36FA25EF"/>
    <w:rsid w:val="5463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urier" w:hAnsi="Courier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uppressAutoHyphens/>
      <w:jc w:val="both"/>
      <w:outlineLvl w:val="0"/>
    </w:pPr>
    <w:rPr>
      <w:rFonts w:ascii="Times New Roman" w:hAnsi="Times New Roman"/>
      <w:b/>
      <w:spacing w:val="-2"/>
      <w:sz w:val="24"/>
      <w:u w:val="singl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2020-08-29T08:29:00Z</dcterms:created>
  <dc:creator>风歌</dc:creator>
  <cp:lastModifiedBy>风歌</cp:lastModifiedBy>
  <dcterms:modified xsi:type="dcterms:W3CDTF">2020-08-29T11:14:54Z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